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95AE0" w14:textId="77777777" w:rsidR="0095647A" w:rsidRPr="00346E40" w:rsidRDefault="00046CAF">
      <w:pPr>
        <w:spacing w:line="240" w:lineRule="auto"/>
        <w:jc w:val="center"/>
        <w:rPr>
          <w:rFonts w:ascii="Times New Roman" w:eastAsia="Times New Roman" w:hAnsi="Times New Roman" w:cs="Times New Roman"/>
          <w:b/>
          <w:bCs/>
          <w:sz w:val="28"/>
          <w:szCs w:val="28"/>
        </w:rPr>
      </w:pPr>
      <w:bookmarkStart w:id="0" w:name="_pzb69mpi8lay" w:colFirst="0" w:colLast="0"/>
      <w:bookmarkEnd w:id="0"/>
      <w:r w:rsidRPr="00346E40">
        <w:rPr>
          <w:rFonts w:ascii="Times New Roman" w:eastAsia="Times New Roman" w:hAnsi="Times New Roman" w:cs="Times New Roman"/>
          <w:b/>
          <w:sz w:val="28"/>
          <w:szCs w:val="28"/>
          <w:lang w:bidi="en-US"/>
        </w:rPr>
        <w:t>The General People’s Committee</w:t>
      </w:r>
    </w:p>
    <w:p w14:paraId="54DFED1C" w14:textId="77777777" w:rsidR="0095647A" w:rsidRPr="00346E40" w:rsidRDefault="00046CAF">
      <w:pPr>
        <w:spacing w:line="240" w:lineRule="auto"/>
        <w:jc w:val="center"/>
        <w:rPr>
          <w:rFonts w:ascii="Times New Roman" w:eastAsia="Times New Roman" w:hAnsi="Times New Roman" w:cs="Times New Roman"/>
          <w:b/>
          <w:bCs/>
          <w:sz w:val="28"/>
          <w:szCs w:val="28"/>
        </w:rPr>
      </w:pPr>
      <w:bookmarkStart w:id="1" w:name="_xucx3h41c74y" w:colFirst="0" w:colLast="0"/>
      <w:bookmarkEnd w:id="1"/>
      <w:r w:rsidRPr="00346E40">
        <w:rPr>
          <w:rFonts w:ascii="Times New Roman" w:eastAsia="Times New Roman" w:hAnsi="Times New Roman" w:cs="Times New Roman"/>
          <w:b/>
          <w:sz w:val="28"/>
          <w:szCs w:val="28"/>
          <w:lang w:bidi="en-US"/>
        </w:rPr>
        <w:t>Decree No. (797) of 1423 FBP</w:t>
      </w:r>
    </w:p>
    <w:p w14:paraId="2D982BAE" w14:textId="77777777" w:rsidR="0095647A" w:rsidRPr="00346E40" w:rsidRDefault="00046CAF">
      <w:pPr>
        <w:spacing w:line="240" w:lineRule="auto"/>
        <w:jc w:val="center"/>
        <w:rPr>
          <w:rFonts w:ascii="Times New Roman" w:eastAsia="Times New Roman" w:hAnsi="Times New Roman" w:cs="Times New Roman"/>
          <w:b/>
          <w:bCs/>
          <w:sz w:val="28"/>
          <w:szCs w:val="28"/>
        </w:rPr>
      </w:pPr>
      <w:bookmarkStart w:id="2" w:name="_lu80fle9baev" w:colFirst="0" w:colLast="0"/>
      <w:bookmarkEnd w:id="2"/>
      <w:r w:rsidRPr="00346E40">
        <w:rPr>
          <w:rFonts w:ascii="Times New Roman" w:eastAsia="Times New Roman" w:hAnsi="Times New Roman" w:cs="Times New Roman"/>
          <w:b/>
          <w:sz w:val="28"/>
          <w:szCs w:val="28"/>
          <w:lang w:bidi="en-US"/>
        </w:rPr>
        <w:t xml:space="preserve">on Regulating the Referral at the Disposal of the General </w:t>
      </w:r>
    </w:p>
    <w:p w14:paraId="41D08A40" w14:textId="77777777" w:rsidR="0095647A" w:rsidRPr="00346E40" w:rsidRDefault="00046CAF">
      <w:pPr>
        <w:spacing w:line="240" w:lineRule="auto"/>
        <w:jc w:val="center"/>
        <w:rPr>
          <w:rFonts w:ascii="Times New Roman" w:eastAsia="Times New Roman" w:hAnsi="Times New Roman" w:cs="Times New Roman"/>
          <w:b/>
          <w:bCs/>
          <w:sz w:val="28"/>
          <w:szCs w:val="28"/>
        </w:rPr>
      </w:pPr>
      <w:bookmarkStart w:id="3" w:name="_d5xg6l9eu6w" w:colFirst="0" w:colLast="0"/>
      <w:bookmarkEnd w:id="3"/>
      <w:r w:rsidRPr="00346E40">
        <w:rPr>
          <w:rFonts w:ascii="Times New Roman" w:eastAsia="Times New Roman" w:hAnsi="Times New Roman" w:cs="Times New Roman"/>
          <w:b/>
          <w:sz w:val="28"/>
          <w:szCs w:val="28"/>
          <w:lang w:bidi="en-US"/>
        </w:rPr>
        <w:t>Authority for Manpower, in Implementation of the Provisions of Law</w:t>
      </w:r>
    </w:p>
    <w:p w14:paraId="7854A37F" w14:textId="77777777" w:rsidR="0095647A" w:rsidRPr="00346E40" w:rsidRDefault="00046CAF">
      <w:pPr>
        <w:spacing w:line="240" w:lineRule="auto"/>
        <w:jc w:val="center"/>
        <w:rPr>
          <w:rFonts w:ascii="Times New Roman" w:eastAsia="Times New Roman" w:hAnsi="Times New Roman" w:cs="Times New Roman"/>
          <w:b/>
          <w:bCs/>
          <w:sz w:val="28"/>
          <w:szCs w:val="28"/>
        </w:rPr>
      </w:pPr>
      <w:bookmarkStart w:id="4" w:name="_7pmdlrkobqnw" w:colFirst="0" w:colLast="0"/>
      <w:bookmarkEnd w:id="4"/>
      <w:r w:rsidRPr="00346E40">
        <w:rPr>
          <w:rFonts w:ascii="Times New Roman" w:eastAsia="Times New Roman" w:hAnsi="Times New Roman" w:cs="Times New Roman"/>
          <w:b/>
          <w:sz w:val="28"/>
          <w:szCs w:val="28"/>
          <w:lang w:bidi="en-US"/>
        </w:rPr>
        <w:t>No. (31) of 1423 FBP</w:t>
      </w:r>
    </w:p>
    <w:p w14:paraId="62112EB4" w14:textId="77777777" w:rsidR="0095647A" w:rsidRPr="00346E40" w:rsidRDefault="0095647A">
      <w:pPr>
        <w:spacing w:line="360" w:lineRule="auto"/>
        <w:rPr>
          <w:rFonts w:ascii="Times New Roman" w:eastAsia="Times New Roman" w:hAnsi="Times New Roman" w:cs="Times New Roman"/>
          <w:bCs/>
          <w:sz w:val="28"/>
          <w:szCs w:val="28"/>
        </w:rPr>
      </w:pPr>
      <w:bookmarkStart w:id="5" w:name="_bumv66vmnio8" w:colFirst="0" w:colLast="0"/>
      <w:bookmarkEnd w:id="5"/>
    </w:p>
    <w:p w14:paraId="48399B10" w14:textId="77777777" w:rsidR="0095647A" w:rsidRPr="00346E40" w:rsidRDefault="00046CAF">
      <w:pPr>
        <w:spacing w:line="360" w:lineRule="auto"/>
        <w:rPr>
          <w:rFonts w:ascii="Times New Roman" w:eastAsia="Times New Roman" w:hAnsi="Times New Roman" w:cs="Times New Roman"/>
          <w:b/>
          <w:bCs/>
          <w:sz w:val="28"/>
          <w:szCs w:val="28"/>
        </w:rPr>
      </w:pPr>
      <w:bookmarkStart w:id="6" w:name="_9rrbaqhws4oe" w:colFirst="0" w:colLast="0"/>
      <w:bookmarkEnd w:id="6"/>
      <w:r w:rsidRPr="00346E40">
        <w:rPr>
          <w:rFonts w:ascii="Times New Roman" w:eastAsia="Times New Roman" w:hAnsi="Times New Roman" w:cs="Times New Roman"/>
          <w:b/>
          <w:sz w:val="28"/>
          <w:szCs w:val="28"/>
          <w:lang w:bidi="en-US"/>
        </w:rPr>
        <w:t>The General People’s Committee</w:t>
      </w:r>
      <w:r w:rsidRPr="00346E40">
        <w:rPr>
          <w:rFonts w:ascii="Times New Roman" w:eastAsia="Times New Roman" w:hAnsi="Times New Roman" w:cs="Times New Roman"/>
          <w:b/>
          <w:sz w:val="28"/>
          <w:szCs w:val="28"/>
          <w:lang w:bidi="en-US"/>
        </w:rPr>
        <w:br/>
        <w:t>Upon review of:</w:t>
      </w:r>
    </w:p>
    <w:p w14:paraId="64FE8F53" w14:textId="77777777" w:rsidR="0095647A" w:rsidRDefault="00046CAF">
      <w:pPr>
        <w:numPr>
          <w:ilvl w:val="0"/>
          <w:numId w:val="1"/>
        </w:numPr>
        <w:spacing w:line="360" w:lineRule="auto"/>
        <w:ind w:left="0"/>
        <w:rPr>
          <w:rFonts w:ascii="Times New Roman" w:eastAsia="Times New Roman" w:hAnsi="Times New Roman" w:cs="Times New Roman"/>
          <w:sz w:val="28"/>
          <w:szCs w:val="28"/>
        </w:rPr>
      </w:pPr>
      <w:bookmarkStart w:id="7" w:name="_k4f2aa3ra124" w:colFirst="0" w:colLast="0"/>
      <w:bookmarkEnd w:id="7"/>
      <w:r>
        <w:rPr>
          <w:rFonts w:ascii="Times New Roman" w:eastAsia="Times New Roman" w:hAnsi="Times New Roman" w:cs="Times New Roman"/>
          <w:sz w:val="28"/>
          <w:szCs w:val="28"/>
          <w:lang w:bidi="en-US"/>
        </w:rPr>
        <w:t>Law No. (55) of 1976 AD on the Civil</w:t>
      </w:r>
    </w:p>
    <w:p w14:paraId="14CD4D2E" w14:textId="77777777" w:rsidR="0095647A" w:rsidRDefault="00046CAF">
      <w:pPr>
        <w:spacing w:line="360" w:lineRule="auto"/>
        <w:rPr>
          <w:rFonts w:ascii="Times New Roman" w:eastAsia="Times New Roman" w:hAnsi="Times New Roman" w:cs="Times New Roman"/>
          <w:sz w:val="28"/>
          <w:szCs w:val="28"/>
        </w:rPr>
      </w:pPr>
      <w:bookmarkStart w:id="8" w:name="_ejhuboe91l6a" w:colFirst="0" w:colLast="0"/>
      <w:bookmarkEnd w:id="8"/>
      <w:r>
        <w:rPr>
          <w:rFonts w:ascii="Times New Roman" w:eastAsia="Times New Roman" w:hAnsi="Times New Roman" w:cs="Times New Roman"/>
          <w:sz w:val="28"/>
          <w:szCs w:val="28"/>
          <w:lang w:bidi="en-US"/>
        </w:rPr>
        <w:t>Service;</w:t>
      </w:r>
    </w:p>
    <w:p w14:paraId="23169203" w14:textId="77777777" w:rsidR="0095647A" w:rsidRDefault="00046CAF">
      <w:pPr>
        <w:numPr>
          <w:ilvl w:val="0"/>
          <w:numId w:val="5"/>
        </w:numPr>
        <w:spacing w:line="360" w:lineRule="auto"/>
        <w:ind w:left="0"/>
        <w:rPr>
          <w:rFonts w:ascii="Times New Roman" w:eastAsia="Times New Roman" w:hAnsi="Times New Roman" w:cs="Times New Roman"/>
          <w:sz w:val="28"/>
          <w:szCs w:val="28"/>
        </w:rPr>
      </w:pPr>
      <w:bookmarkStart w:id="9" w:name="_frasda7ofi6j" w:colFirst="0" w:colLast="0"/>
      <w:bookmarkEnd w:id="9"/>
      <w:r>
        <w:rPr>
          <w:rFonts w:ascii="Times New Roman" w:eastAsia="Times New Roman" w:hAnsi="Times New Roman" w:cs="Times New Roman"/>
          <w:sz w:val="28"/>
          <w:szCs w:val="28"/>
          <w:lang w:bidi="en-US"/>
        </w:rPr>
        <w:t>Law No. (15) of 1981 on the Salary System of National Workers</w:t>
      </w:r>
    </w:p>
    <w:p w14:paraId="33EC4EB0" w14:textId="77777777" w:rsidR="0095647A" w:rsidRDefault="00046CAF">
      <w:pPr>
        <w:spacing w:line="360" w:lineRule="auto"/>
        <w:rPr>
          <w:rFonts w:ascii="Times New Roman" w:eastAsia="Times New Roman" w:hAnsi="Times New Roman" w:cs="Times New Roman"/>
          <w:sz w:val="28"/>
          <w:szCs w:val="28"/>
        </w:rPr>
      </w:pPr>
      <w:bookmarkStart w:id="10" w:name="_gesbmjvqm80o" w:colFirst="0" w:colLast="0"/>
      <w:bookmarkEnd w:id="10"/>
      <w:r>
        <w:rPr>
          <w:rFonts w:ascii="Times New Roman" w:eastAsia="Times New Roman" w:hAnsi="Times New Roman" w:cs="Times New Roman"/>
          <w:sz w:val="28"/>
          <w:szCs w:val="28"/>
          <w:lang w:bidi="en-US"/>
        </w:rPr>
        <w:t>in the Socialist People’s Libyan Arab Jamahiriya;</w:t>
      </w:r>
    </w:p>
    <w:p w14:paraId="0B93885D" w14:textId="77777777" w:rsidR="0095647A" w:rsidRDefault="00046CAF">
      <w:pPr>
        <w:numPr>
          <w:ilvl w:val="0"/>
          <w:numId w:val="2"/>
        </w:numPr>
        <w:spacing w:after="0" w:line="360" w:lineRule="auto"/>
        <w:ind w:left="0"/>
        <w:rPr>
          <w:rFonts w:ascii="Times New Roman" w:eastAsia="Times New Roman" w:hAnsi="Times New Roman" w:cs="Times New Roman"/>
          <w:sz w:val="28"/>
          <w:szCs w:val="28"/>
        </w:rPr>
      </w:pPr>
      <w:bookmarkStart w:id="11" w:name="_1zqncadkoz7l" w:colFirst="0" w:colLast="0"/>
      <w:bookmarkEnd w:id="11"/>
      <w:r>
        <w:rPr>
          <w:rFonts w:ascii="Times New Roman" w:eastAsia="Times New Roman" w:hAnsi="Times New Roman" w:cs="Times New Roman"/>
          <w:sz w:val="28"/>
          <w:szCs w:val="28"/>
          <w:lang w:bidi="en-US"/>
        </w:rPr>
        <w:t>Law No. (13) of 1980 AD on Social Security;</w:t>
      </w:r>
    </w:p>
    <w:p w14:paraId="35E303C5" w14:textId="77777777" w:rsidR="0095647A" w:rsidRDefault="00046CAF">
      <w:pPr>
        <w:numPr>
          <w:ilvl w:val="0"/>
          <w:numId w:val="2"/>
        </w:numPr>
        <w:spacing w:line="360" w:lineRule="auto"/>
        <w:ind w:left="0"/>
        <w:rPr>
          <w:rFonts w:ascii="Times New Roman" w:eastAsia="Times New Roman" w:hAnsi="Times New Roman" w:cs="Times New Roman"/>
          <w:sz w:val="28"/>
          <w:szCs w:val="28"/>
        </w:rPr>
      </w:pPr>
      <w:bookmarkStart w:id="12" w:name="_pmci6aagi0te" w:colFirst="0" w:colLast="0"/>
      <w:bookmarkEnd w:id="12"/>
      <w:r>
        <w:rPr>
          <w:rFonts w:ascii="Times New Roman" w:eastAsia="Times New Roman" w:hAnsi="Times New Roman" w:cs="Times New Roman"/>
          <w:sz w:val="28"/>
          <w:szCs w:val="28"/>
          <w:lang w:bidi="en-US"/>
        </w:rPr>
        <w:t>Law No. (9) of 1992 AD on the Exercise of Economic Activities and the Implementing</w:t>
      </w:r>
    </w:p>
    <w:p w14:paraId="611467F1" w14:textId="77777777" w:rsidR="0095647A" w:rsidRDefault="00046CAF">
      <w:pPr>
        <w:spacing w:line="360" w:lineRule="auto"/>
        <w:rPr>
          <w:rFonts w:ascii="Times New Roman" w:eastAsia="Times New Roman" w:hAnsi="Times New Roman" w:cs="Times New Roman"/>
          <w:sz w:val="28"/>
          <w:szCs w:val="28"/>
        </w:rPr>
      </w:pPr>
      <w:bookmarkStart w:id="13" w:name="_eg1nf17ptda8" w:colFirst="0" w:colLast="0"/>
      <w:bookmarkEnd w:id="13"/>
      <w:r>
        <w:rPr>
          <w:rFonts w:ascii="Times New Roman" w:eastAsia="Times New Roman" w:hAnsi="Times New Roman" w:cs="Times New Roman"/>
          <w:sz w:val="28"/>
          <w:szCs w:val="28"/>
          <w:lang w:bidi="en-US"/>
        </w:rPr>
        <w:t>Regulations thereof;</w:t>
      </w:r>
    </w:p>
    <w:p w14:paraId="66E47E69" w14:textId="77777777" w:rsidR="0095647A" w:rsidRDefault="00046CAF">
      <w:pPr>
        <w:numPr>
          <w:ilvl w:val="0"/>
          <w:numId w:val="6"/>
        </w:numPr>
        <w:spacing w:line="360" w:lineRule="auto"/>
        <w:ind w:left="0"/>
        <w:rPr>
          <w:rFonts w:ascii="Times New Roman" w:eastAsia="Times New Roman" w:hAnsi="Times New Roman" w:cs="Times New Roman"/>
          <w:sz w:val="28"/>
          <w:szCs w:val="28"/>
        </w:rPr>
      </w:pPr>
      <w:bookmarkStart w:id="14" w:name="_6blxy1y3rf5j" w:colFirst="0" w:colLast="0"/>
      <w:bookmarkEnd w:id="14"/>
      <w:r>
        <w:rPr>
          <w:rFonts w:ascii="Times New Roman" w:eastAsia="Times New Roman" w:hAnsi="Times New Roman" w:cs="Times New Roman"/>
          <w:sz w:val="28"/>
          <w:szCs w:val="28"/>
          <w:lang w:bidi="en-US"/>
        </w:rPr>
        <w:t>Law No. (3) of 1423 FBP on the People’s Committees and the Implementing</w:t>
      </w:r>
    </w:p>
    <w:p w14:paraId="66D277A1" w14:textId="77777777" w:rsidR="0095647A" w:rsidRDefault="00046CAF">
      <w:pPr>
        <w:spacing w:line="360" w:lineRule="auto"/>
        <w:rPr>
          <w:rFonts w:ascii="Times New Roman" w:eastAsia="Times New Roman" w:hAnsi="Times New Roman" w:cs="Times New Roman"/>
          <w:sz w:val="28"/>
          <w:szCs w:val="28"/>
        </w:rPr>
      </w:pPr>
      <w:bookmarkStart w:id="15" w:name="_e8qc3jxbplxk" w:colFirst="0" w:colLast="0"/>
      <w:bookmarkEnd w:id="15"/>
      <w:r>
        <w:rPr>
          <w:rFonts w:ascii="Times New Roman" w:eastAsia="Times New Roman" w:hAnsi="Times New Roman" w:cs="Times New Roman"/>
          <w:sz w:val="28"/>
          <w:szCs w:val="28"/>
          <w:lang w:bidi="en-US"/>
        </w:rPr>
        <w:t>Regulations thereof;</w:t>
      </w:r>
    </w:p>
    <w:p w14:paraId="33445480" w14:textId="77777777" w:rsidR="0095647A" w:rsidRDefault="00046CAF">
      <w:pPr>
        <w:numPr>
          <w:ilvl w:val="0"/>
          <w:numId w:val="7"/>
        </w:numPr>
        <w:spacing w:line="360" w:lineRule="auto"/>
        <w:ind w:left="0"/>
        <w:rPr>
          <w:rFonts w:ascii="Times New Roman" w:eastAsia="Times New Roman" w:hAnsi="Times New Roman" w:cs="Times New Roman"/>
          <w:sz w:val="28"/>
          <w:szCs w:val="28"/>
        </w:rPr>
      </w:pPr>
      <w:bookmarkStart w:id="16" w:name="_nziacwcoo5rc" w:colFirst="0" w:colLast="0"/>
      <w:bookmarkEnd w:id="16"/>
      <w:r>
        <w:rPr>
          <w:rFonts w:ascii="Times New Roman" w:eastAsia="Times New Roman" w:hAnsi="Times New Roman" w:cs="Times New Roman"/>
          <w:sz w:val="28"/>
          <w:szCs w:val="28"/>
          <w:lang w:bidi="en-US"/>
        </w:rPr>
        <w:t>Law No. (31) of 1423 FBP, on Approving Certain Provisions on</w:t>
      </w:r>
    </w:p>
    <w:p w14:paraId="5F6A7363" w14:textId="77777777" w:rsidR="0095647A" w:rsidRDefault="00046CAF">
      <w:pPr>
        <w:spacing w:line="360" w:lineRule="auto"/>
        <w:rPr>
          <w:rFonts w:ascii="Times New Roman" w:eastAsia="Times New Roman" w:hAnsi="Times New Roman" w:cs="Times New Roman"/>
          <w:sz w:val="28"/>
          <w:szCs w:val="28"/>
        </w:rPr>
      </w:pPr>
      <w:bookmarkStart w:id="17" w:name="_drwpauvww4la" w:colFirst="0" w:colLast="0"/>
      <w:bookmarkEnd w:id="17"/>
      <w:r>
        <w:rPr>
          <w:rFonts w:ascii="Times New Roman" w:eastAsia="Times New Roman" w:hAnsi="Times New Roman" w:cs="Times New Roman"/>
          <w:sz w:val="28"/>
          <w:szCs w:val="28"/>
          <w:lang w:bidi="en-US"/>
        </w:rPr>
        <w:t>National Service, Employment and Manpower; and</w:t>
      </w:r>
    </w:p>
    <w:p w14:paraId="11D98259" w14:textId="77777777" w:rsidR="0095647A" w:rsidRDefault="00046CAF">
      <w:pPr>
        <w:numPr>
          <w:ilvl w:val="0"/>
          <w:numId w:val="4"/>
        </w:numPr>
        <w:spacing w:line="360" w:lineRule="auto"/>
        <w:ind w:left="0"/>
        <w:rPr>
          <w:rFonts w:ascii="Times New Roman" w:eastAsia="Times New Roman" w:hAnsi="Times New Roman" w:cs="Times New Roman"/>
          <w:sz w:val="28"/>
          <w:szCs w:val="28"/>
        </w:rPr>
      </w:pPr>
      <w:bookmarkStart w:id="18" w:name="_etoe1edndlil" w:colFirst="0" w:colLast="0"/>
      <w:bookmarkEnd w:id="18"/>
      <w:r>
        <w:rPr>
          <w:rFonts w:ascii="Times New Roman" w:eastAsia="Times New Roman" w:hAnsi="Times New Roman" w:cs="Times New Roman"/>
          <w:sz w:val="28"/>
          <w:szCs w:val="28"/>
          <w:lang w:bidi="en-US"/>
        </w:rPr>
        <w:lastRenderedPageBreak/>
        <w:t>The General People’s Committee Decree No. (461) of 1423 on the Formation of</w:t>
      </w:r>
    </w:p>
    <w:p w14:paraId="606A3A97" w14:textId="77777777" w:rsidR="0095647A" w:rsidRDefault="00046CAF">
      <w:pPr>
        <w:spacing w:line="360" w:lineRule="auto"/>
        <w:rPr>
          <w:rFonts w:ascii="Times New Roman" w:eastAsia="Times New Roman" w:hAnsi="Times New Roman" w:cs="Times New Roman"/>
          <w:sz w:val="28"/>
          <w:szCs w:val="28"/>
        </w:rPr>
      </w:pPr>
      <w:bookmarkStart w:id="19" w:name="_k0a4ns7g99wm" w:colFirst="0" w:colLast="0"/>
      <w:bookmarkEnd w:id="19"/>
      <w:r>
        <w:rPr>
          <w:rFonts w:ascii="Times New Roman" w:eastAsia="Times New Roman" w:hAnsi="Times New Roman" w:cs="Times New Roman"/>
          <w:sz w:val="28"/>
          <w:szCs w:val="28"/>
          <w:lang w:bidi="en-US"/>
        </w:rPr>
        <w:t>the Committee Mandated with the Preparation for the Execution of Employment and Transition to Production Program Legislations, and</w:t>
      </w:r>
    </w:p>
    <w:p w14:paraId="66569DC7" w14:textId="77777777" w:rsidR="0095647A" w:rsidRDefault="00046CAF">
      <w:pPr>
        <w:numPr>
          <w:ilvl w:val="0"/>
          <w:numId w:val="3"/>
        </w:numPr>
        <w:spacing w:line="360" w:lineRule="auto"/>
        <w:ind w:left="0"/>
        <w:rPr>
          <w:rFonts w:ascii="Times New Roman" w:eastAsia="Times New Roman" w:hAnsi="Times New Roman" w:cs="Times New Roman"/>
          <w:sz w:val="28"/>
          <w:szCs w:val="28"/>
        </w:rPr>
      </w:pPr>
      <w:bookmarkStart w:id="20" w:name="_c4x1klqg08ru" w:colFirst="0" w:colLast="0"/>
      <w:bookmarkEnd w:id="20"/>
      <w:r>
        <w:rPr>
          <w:rFonts w:ascii="Times New Roman" w:eastAsia="Times New Roman" w:hAnsi="Times New Roman" w:cs="Times New Roman"/>
          <w:sz w:val="28"/>
          <w:szCs w:val="28"/>
          <w:lang w:bidi="en-US"/>
        </w:rPr>
        <w:t>Based on the conclusions reached by the Committee formed for such purpose,</w:t>
      </w:r>
    </w:p>
    <w:p w14:paraId="23EFBCDA" w14:textId="77777777" w:rsidR="0095647A" w:rsidRPr="00346E40" w:rsidRDefault="0095647A">
      <w:pPr>
        <w:spacing w:line="360" w:lineRule="auto"/>
        <w:rPr>
          <w:rFonts w:ascii="Times New Roman" w:eastAsia="Times New Roman" w:hAnsi="Times New Roman" w:cs="Times New Roman"/>
          <w:bCs/>
          <w:sz w:val="28"/>
          <w:szCs w:val="28"/>
        </w:rPr>
      </w:pPr>
      <w:bookmarkStart w:id="21" w:name="_8keaij6oqzh1" w:colFirst="0" w:colLast="0"/>
      <w:bookmarkEnd w:id="21"/>
    </w:p>
    <w:p w14:paraId="3F2CBDB4" w14:textId="77777777" w:rsidR="0095647A" w:rsidRPr="00346E40" w:rsidRDefault="00046CAF">
      <w:pPr>
        <w:spacing w:line="360" w:lineRule="auto"/>
        <w:jc w:val="center"/>
        <w:rPr>
          <w:rFonts w:ascii="Times New Roman" w:eastAsia="Times New Roman" w:hAnsi="Times New Roman" w:cs="Times New Roman"/>
          <w:b/>
          <w:bCs/>
          <w:sz w:val="28"/>
          <w:szCs w:val="28"/>
        </w:rPr>
      </w:pPr>
      <w:bookmarkStart w:id="22" w:name="_axxrkyvukn0" w:colFirst="0" w:colLast="0"/>
      <w:bookmarkEnd w:id="22"/>
      <w:r w:rsidRPr="00346E40">
        <w:rPr>
          <w:rFonts w:ascii="Times New Roman" w:eastAsia="Times New Roman" w:hAnsi="Times New Roman" w:cs="Times New Roman"/>
          <w:b/>
          <w:sz w:val="28"/>
          <w:szCs w:val="28"/>
          <w:lang w:bidi="en-US"/>
        </w:rPr>
        <w:t>has decreed the following:</w:t>
      </w:r>
    </w:p>
    <w:p w14:paraId="3276794F" w14:textId="77777777" w:rsidR="0095647A" w:rsidRPr="00346E40" w:rsidRDefault="0095647A">
      <w:pPr>
        <w:spacing w:line="360" w:lineRule="auto"/>
        <w:rPr>
          <w:rFonts w:ascii="Times New Roman" w:eastAsia="Times New Roman" w:hAnsi="Times New Roman" w:cs="Times New Roman"/>
          <w:bCs/>
          <w:sz w:val="28"/>
          <w:szCs w:val="28"/>
        </w:rPr>
      </w:pPr>
      <w:bookmarkStart w:id="23" w:name="_k2rcjkapac46" w:colFirst="0" w:colLast="0"/>
      <w:bookmarkEnd w:id="23"/>
    </w:p>
    <w:p w14:paraId="06189A27" w14:textId="77777777" w:rsidR="0095647A" w:rsidRPr="00346E40" w:rsidRDefault="00046CAF">
      <w:pPr>
        <w:spacing w:line="360" w:lineRule="auto"/>
        <w:rPr>
          <w:rFonts w:ascii="Times New Roman" w:eastAsia="Times New Roman" w:hAnsi="Times New Roman" w:cs="Times New Roman"/>
          <w:b/>
          <w:bCs/>
          <w:sz w:val="28"/>
          <w:szCs w:val="28"/>
        </w:rPr>
      </w:pPr>
      <w:bookmarkStart w:id="24" w:name="_o4cg8jtam9nd" w:colFirst="0" w:colLast="0"/>
      <w:bookmarkEnd w:id="24"/>
      <w:r w:rsidRPr="00346E40">
        <w:rPr>
          <w:rFonts w:ascii="Times New Roman" w:eastAsia="Times New Roman" w:hAnsi="Times New Roman" w:cs="Times New Roman"/>
          <w:b/>
          <w:sz w:val="28"/>
          <w:szCs w:val="28"/>
          <w:lang w:bidi="en-US"/>
        </w:rPr>
        <w:t>Article (1)</w:t>
      </w:r>
    </w:p>
    <w:p w14:paraId="78DE8476" w14:textId="77777777" w:rsidR="0095647A" w:rsidRDefault="00046CAF">
      <w:pPr>
        <w:spacing w:line="360" w:lineRule="auto"/>
        <w:rPr>
          <w:rFonts w:ascii="Times New Roman" w:eastAsia="Times New Roman" w:hAnsi="Times New Roman" w:cs="Times New Roman"/>
          <w:sz w:val="28"/>
          <w:szCs w:val="28"/>
        </w:rPr>
      </w:pPr>
      <w:bookmarkStart w:id="25" w:name="_vqsu7dv4itki" w:colFirst="0" w:colLast="0"/>
      <w:bookmarkEnd w:id="25"/>
      <w:r>
        <w:rPr>
          <w:rFonts w:ascii="Times New Roman" w:eastAsia="Times New Roman" w:hAnsi="Times New Roman" w:cs="Times New Roman"/>
          <w:sz w:val="28"/>
          <w:szCs w:val="28"/>
          <w:lang w:bidi="en-US"/>
        </w:rPr>
        <w:t>The General Authority for Manpower shall prepare a record of employees under referral at disposal. Such record shall include data on the employee’s date of birth, academic qualification, grade at the time of referral, date of reaching such grade, the old job, the job which the employee wishes to be rehabilitated for, residence address and the dates prescribed to visit the Authority’s branch. Subject to his signature thereon, the employee shall be given a proof of registration in the record and the dates specified for visiting the branch.</w:t>
      </w:r>
    </w:p>
    <w:p w14:paraId="0B8C88D9" w14:textId="77777777" w:rsidR="0095647A" w:rsidRPr="00346E40" w:rsidRDefault="0095647A">
      <w:pPr>
        <w:spacing w:line="360" w:lineRule="auto"/>
        <w:rPr>
          <w:rFonts w:ascii="Times New Roman" w:eastAsia="Times New Roman" w:hAnsi="Times New Roman" w:cs="Times New Roman"/>
          <w:b/>
          <w:bCs/>
          <w:sz w:val="28"/>
          <w:szCs w:val="28"/>
        </w:rPr>
      </w:pPr>
      <w:bookmarkStart w:id="26" w:name="_xqays09vykp2" w:colFirst="0" w:colLast="0"/>
      <w:bookmarkEnd w:id="26"/>
    </w:p>
    <w:p w14:paraId="296AA88D" w14:textId="77777777" w:rsidR="0095647A" w:rsidRPr="00346E40" w:rsidRDefault="00046CAF">
      <w:pPr>
        <w:spacing w:line="360" w:lineRule="auto"/>
        <w:rPr>
          <w:rFonts w:ascii="Times New Roman" w:eastAsia="Times New Roman" w:hAnsi="Times New Roman" w:cs="Times New Roman"/>
          <w:b/>
          <w:bCs/>
          <w:sz w:val="28"/>
          <w:szCs w:val="28"/>
        </w:rPr>
      </w:pPr>
      <w:bookmarkStart w:id="27" w:name="_gxi8zewsxn7m" w:colFirst="0" w:colLast="0"/>
      <w:bookmarkEnd w:id="27"/>
      <w:r w:rsidRPr="00346E40">
        <w:rPr>
          <w:rFonts w:ascii="Times New Roman" w:eastAsia="Times New Roman" w:hAnsi="Times New Roman" w:cs="Times New Roman"/>
          <w:b/>
          <w:sz w:val="28"/>
          <w:szCs w:val="28"/>
          <w:lang w:bidi="en-US"/>
        </w:rPr>
        <w:t>Article (2)</w:t>
      </w:r>
    </w:p>
    <w:p w14:paraId="7BD0FA24" w14:textId="793F9033" w:rsidR="0095647A" w:rsidRDefault="00046CAF">
      <w:pPr>
        <w:spacing w:line="360" w:lineRule="auto"/>
        <w:rPr>
          <w:rFonts w:ascii="Times New Roman" w:eastAsia="Times New Roman" w:hAnsi="Times New Roman" w:cs="Times New Roman"/>
          <w:sz w:val="28"/>
          <w:szCs w:val="28"/>
        </w:rPr>
      </w:pPr>
      <w:bookmarkStart w:id="28" w:name="_mphg36xt2h95" w:colFirst="0" w:colLast="0"/>
      <w:bookmarkEnd w:id="28"/>
      <w:r>
        <w:rPr>
          <w:rFonts w:ascii="Times New Roman" w:eastAsia="Times New Roman" w:hAnsi="Times New Roman" w:cs="Times New Roman"/>
          <w:sz w:val="28"/>
          <w:szCs w:val="28"/>
          <w:lang w:bidi="en-US"/>
        </w:rPr>
        <w:t xml:space="preserve">In filling vacancies in various public entities, priority shall be given to employees under referral at disposal as a result of terminating the administrative unit or cancelling the job. Such employee shall be given the opportunity to </w:t>
      </w:r>
      <w:r>
        <w:rPr>
          <w:rFonts w:ascii="Times New Roman" w:eastAsia="Times New Roman" w:hAnsi="Times New Roman" w:cs="Times New Roman"/>
          <w:sz w:val="28"/>
          <w:szCs w:val="28"/>
          <w:lang w:bidi="en-US"/>
        </w:rPr>
        <w:lastRenderedPageBreak/>
        <w:t>choose the job he wishes, if possible, providing that such employee meets the vacant job’s requirements and this does not lead to a delay in commencing service or training at the specified times.</w:t>
      </w:r>
    </w:p>
    <w:p w14:paraId="1B193DE0" w14:textId="77777777" w:rsidR="0095647A" w:rsidRPr="00346E40" w:rsidRDefault="0095647A">
      <w:pPr>
        <w:spacing w:line="360" w:lineRule="auto"/>
        <w:rPr>
          <w:rFonts w:ascii="Times New Roman" w:eastAsia="Times New Roman" w:hAnsi="Times New Roman" w:cs="Times New Roman"/>
          <w:bCs/>
          <w:sz w:val="28"/>
          <w:szCs w:val="28"/>
        </w:rPr>
      </w:pPr>
      <w:bookmarkStart w:id="29" w:name="_cr3nrssumxkg" w:colFirst="0" w:colLast="0"/>
      <w:bookmarkEnd w:id="29"/>
    </w:p>
    <w:p w14:paraId="32678B86" w14:textId="77777777" w:rsidR="0095647A" w:rsidRPr="00346E40" w:rsidRDefault="00046CAF">
      <w:pPr>
        <w:spacing w:line="360" w:lineRule="auto"/>
        <w:rPr>
          <w:rFonts w:ascii="Times New Roman" w:eastAsia="Times New Roman" w:hAnsi="Times New Roman" w:cs="Times New Roman"/>
          <w:b/>
          <w:bCs/>
          <w:sz w:val="28"/>
          <w:szCs w:val="28"/>
        </w:rPr>
      </w:pPr>
      <w:bookmarkStart w:id="30" w:name="_7mv5p337bxvh" w:colFirst="0" w:colLast="0"/>
      <w:bookmarkEnd w:id="30"/>
      <w:r w:rsidRPr="00346E40">
        <w:rPr>
          <w:rFonts w:ascii="Times New Roman" w:eastAsia="Times New Roman" w:hAnsi="Times New Roman" w:cs="Times New Roman"/>
          <w:b/>
          <w:sz w:val="28"/>
          <w:szCs w:val="28"/>
          <w:lang w:bidi="en-US"/>
        </w:rPr>
        <w:t>Article (3)</w:t>
      </w:r>
    </w:p>
    <w:p w14:paraId="496062A7" w14:textId="10AEAD7A" w:rsidR="0095647A" w:rsidRDefault="00046CAF">
      <w:pPr>
        <w:spacing w:line="360" w:lineRule="auto"/>
        <w:rPr>
          <w:rFonts w:ascii="Times New Roman" w:eastAsia="Times New Roman" w:hAnsi="Times New Roman" w:cs="Times New Roman"/>
          <w:sz w:val="28"/>
          <w:szCs w:val="28"/>
        </w:rPr>
      </w:pPr>
      <w:bookmarkStart w:id="31" w:name="_qrzkulgywmjm" w:colFirst="0" w:colLast="0"/>
      <w:bookmarkEnd w:id="31"/>
      <w:r>
        <w:rPr>
          <w:rFonts w:ascii="Times New Roman" w:eastAsia="Times New Roman" w:hAnsi="Times New Roman" w:cs="Times New Roman"/>
          <w:sz w:val="28"/>
          <w:szCs w:val="28"/>
          <w:lang w:bidi="en-US"/>
        </w:rPr>
        <w:t>The General Authority for Manpower shall organize a rehabilitation and training program for employees under referral at disposal. Absence from or discontinuation of work or training or failure to visit the General Authority for Manpower at the prescribed dates shall be considered absence from work, and the procedures stipulated in the legislation regulating work shall apply in his regard.</w:t>
      </w:r>
    </w:p>
    <w:p w14:paraId="11B58BBE" w14:textId="77777777" w:rsidR="0095647A" w:rsidRPr="00346E40" w:rsidRDefault="0095647A">
      <w:pPr>
        <w:spacing w:line="360" w:lineRule="auto"/>
        <w:rPr>
          <w:rFonts w:ascii="Times New Roman" w:eastAsia="Times New Roman" w:hAnsi="Times New Roman" w:cs="Times New Roman"/>
          <w:bCs/>
          <w:sz w:val="28"/>
          <w:szCs w:val="28"/>
        </w:rPr>
      </w:pPr>
      <w:bookmarkStart w:id="32" w:name="_lit0oqvthygp" w:colFirst="0" w:colLast="0"/>
      <w:bookmarkEnd w:id="32"/>
    </w:p>
    <w:p w14:paraId="7CBEC126" w14:textId="77777777" w:rsidR="0095647A" w:rsidRPr="00346E40" w:rsidRDefault="00046CAF">
      <w:pPr>
        <w:spacing w:line="360" w:lineRule="auto"/>
        <w:rPr>
          <w:rFonts w:ascii="Times New Roman" w:eastAsia="Times New Roman" w:hAnsi="Times New Roman" w:cs="Times New Roman"/>
          <w:b/>
          <w:bCs/>
          <w:sz w:val="28"/>
          <w:szCs w:val="28"/>
        </w:rPr>
      </w:pPr>
      <w:bookmarkStart w:id="33" w:name="_8abg53qpx8dx" w:colFirst="0" w:colLast="0"/>
      <w:bookmarkEnd w:id="33"/>
      <w:r w:rsidRPr="00346E40">
        <w:rPr>
          <w:rFonts w:ascii="Times New Roman" w:eastAsia="Times New Roman" w:hAnsi="Times New Roman" w:cs="Times New Roman"/>
          <w:b/>
          <w:sz w:val="28"/>
          <w:szCs w:val="28"/>
          <w:lang w:bidi="en-US"/>
        </w:rPr>
        <w:t>Article (4)</w:t>
      </w:r>
    </w:p>
    <w:p w14:paraId="3D04D9CC" w14:textId="77777777" w:rsidR="0095647A" w:rsidRDefault="00046CAF">
      <w:pPr>
        <w:spacing w:line="360" w:lineRule="auto"/>
        <w:rPr>
          <w:rFonts w:ascii="Times New Roman" w:eastAsia="Times New Roman" w:hAnsi="Times New Roman" w:cs="Times New Roman"/>
          <w:sz w:val="28"/>
          <w:szCs w:val="28"/>
        </w:rPr>
      </w:pPr>
      <w:bookmarkStart w:id="34" w:name="_xe3hdivewvjo" w:colFirst="0" w:colLast="0"/>
      <w:bookmarkEnd w:id="34"/>
      <w:r>
        <w:rPr>
          <w:rFonts w:ascii="Times New Roman" w:eastAsia="Times New Roman" w:hAnsi="Times New Roman" w:cs="Times New Roman"/>
          <w:sz w:val="28"/>
          <w:szCs w:val="28"/>
          <w:lang w:bidi="en-US"/>
        </w:rPr>
        <w:t xml:space="preserve">An employee under referral at disposal may appeal the procedures taken with regard to job or training placement, if he believes that such procedures have caused a damage thereto or breached the priority-based placement system, or wasted an opportunity for his training or placement in jobs he satisfies the requirements thereof. </w:t>
      </w:r>
    </w:p>
    <w:p w14:paraId="7E243ED9" w14:textId="30F20342" w:rsidR="0095647A" w:rsidRDefault="00046CAF">
      <w:pPr>
        <w:spacing w:line="360" w:lineRule="auto"/>
        <w:rPr>
          <w:rFonts w:ascii="Times New Roman" w:eastAsia="Times New Roman" w:hAnsi="Times New Roman" w:cs="Times New Roman"/>
          <w:sz w:val="28"/>
          <w:szCs w:val="28"/>
        </w:rPr>
      </w:pPr>
      <w:bookmarkStart w:id="35" w:name="_eu2r1kc8wcu9" w:colFirst="0" w:colLast="0"/>
      <w:bookmarkEnd w:id="35"/>
      <w:r>
        <w:rPr>
          <w:rFonts w:ascii="Times New Roman" w:eastAsia="Times New Roman" w:hAnsi="Times New Roman" w:cs="Times New Roman"/>
          <w:sz w:val="28"/>
          <w:szCs w:val="28"/>
          <w:lang w:bidi="en-US"/>
        </w:rPr>
        <w:t xml:space="preserve">In this case, a written appeal shall be submitted to the General Authority for Manpower’s branch, for registration, in consideration of a receipt. In case of non-response thereto or no decision is issued therein within one month from the date of submission, the employee under referral at disposal may submit the </w:t>
      </w:r>
      <w:r>
        <w:rPr>
          <w:rFonts w:ascii="Times New Roman" w:eastAsia="Times New Roman" w:hAnsi="Times New Roman" w:cs="Times New Roman"/>
          <w:sz w:val="28"/>
          <w:szCs w:val="28"/>
          <w:lang w:bidi="en-US"/>
        </w:rPr>
        <w:lastRenderedPageBreak/>
        <w:t>appeal to the Authority’s Management Committee to decide upon the same, based on an investigation to be conducted in this regard.</w:t>
      </w:r>
    </w:p>
    <w:p w14:paraId="4F8BFF92" w14:textId="77777777" w:rsidR="0095647A" w:rsidRPr="00346E40" w:rsidRDefault="0095647A">
      <w:pPr>
        <w:spacing w:line="360" w:lineRule="auto"/>
        <w:rPr>
          <w:rFonts w:ascii="Times New Roman" w:eastAsia="Times New Roman" w:hAnsi="Times New Roman" w:cs="Times New Roman"/>
          <w:bCs/>
          <w:sz w:val="28"/>
          <w:szCs w:val="28"/>
        </w:rPr>
      </w:pPr>
      <w:bookmarkStart w:id="36" w:name="_kb9r0pfs9tli" w:colFirst="0" w:colLast="0"/>
      <w:bookmarkEnd w:id="36"/>
    </w:p>
    <w:p w14:paraId="48D85DE1" w14:textId="77777777" w:rsidR="0095647A" w:rsidRPr="00346E40" w:rsidRDefault="00046CAF">
      <w:pPr>
        <w:spacing w:line="360" w:lineRule="auto"/>
        <w:rPr>
          <w:rFonts w:ascii="Times New Roman" w:eastAsia="Times New Roman" w:hAnsi="Times New Roman" w:cs="Times New Roman"/>
          <w:b/>
          <w:bCs/>
          <w:sz w:val="28"/>
          <w:szCs w:val="28"/>
        </w:rPr>
      </w:pPr>
      <w:bookmarkStart w:id="37" w:name="_dbn7u4c2nxd6" w:colFirst="0" w:colLast="0"/>
      <w:bookmarkEnd w:id="37"/>
      <w:r w:rsidRPr="00346E40">
        <w:rPr>
          <w:rFonts w:ascii="Times New Roman" w:eastAsia="Times New Roman" w:hAnsi="Times New Roman" w:cs="Times New Roman"/>
          <w:b/>
          <w:sz w:val="28"/>
          <w:szCs w:val="28"/>
          <w:lang w:bidi="en-US"/>
        </w:rPr>
        <w:t>Article (5)</w:t>
      </w:r>
    </w:p>
    <w:p w14:paraId="2F965269" w14:textId="7F36EB96" w:rsidR="0095647A" w:rsidRDefault="00046CAF">
      <w:pPr>
        <w:spacing w:line="360" w:lineRule="auto"/>
        <w:rPr>
          <w:rFonts w:ascii="Times New Roman" w:eastAsia="Times New Roman" w:hAnsi="Times New Roman" w:cs="Times New Roman"/>
          <w:sz w:val="28"/>
          <w:szCs w:val="28"/>
        </w:rPr>
      </w:pPr>
      <w:bookmarkStart w:id="38" w:name="_rzn87893d2d2" w:colFirst="0" w:colLast="0"/>
      <w:bookmarkEnd w:id="38"/>
      <w:r>
        <w:rPr>
          <w:rFonts w:ascii="Times New Roman" w:eastAsia="Times New Roman" w:hAnsi="Times New Roman" w:cs="Times New Roman"/>
          <w:sz w:val="28"/>
          <w:szCs w:val="28"/>
          <w:lang w:bidi="en-US"/>
        </w:rPr>
        <w:t>If an employee wishes to be transferred to production, he shall submit a written application to the competent branch of the General Authority. Such application shall specify the profession he wishes to practice and the type of help he desires. The Authority shall register the said employee in the record prepared for this purpose, and complete the relevant procedures in coordination with the entities concerned with implementing Transition to Production programs. A decision on the employee’s transfer shall be issued by the Management Committee of the General Authority for Manpower.</w:t>
      </w:r>
    </w:p>
    <w:p w14:paraId="34E45F89" w14:textId="77777777" w:rsidR="0095647A" w:rsidRPr="00346E40" w:rsidRDefault="0095647A">
      <w:pPr>
        <w:spacing w:line="360" w:lineRule="auto"/>
        <w:rPr>
          <w:rFonts w:ascii="Times New Roman" w:eastAsia="Times New Roman" w:hAnsi="Times New Roman" w:cs="Times New Roman"/>
          <w:bCs/>
          <w:sz w:val="28"/>
          <w:szCs w:val="28"/>
        </w:rPr>
      </w:pPr>
      <w:bookmarkStart w:id="39" w:name="_9yr6exfqvogv" w:colFirst="0" w:colLast="0"/>
      <w:bookmarkEnd w:id="39"/>
    </w:p>
    <w:p w14:paraId="3831D8FF" w14:textId="77777777" w:rsidR="0095647A" w:rsidRPr="00346E40" w:rsidRDefault="00046CAF">
      <w:pPr>
        <w:spacing w:line="360" w:lineRule="auto"/>
        <w:rPr>
          <w:rFonts w:ascii="Times New Roman" w:eastAsia="Times New Roman" w:hAnsi="Times New Roman" w:cs="Times New Roman"/>
          <w:b/>
          <w:bCs/>
          <w:sz w:val="28"/>
          <w:szCs w:val="28"/>
        </w:rPr>
      </w:pPr>
      <w:bookmarkStart w:id="40" w:name="_2doi5e8wlt3s" w:colFirst="0" w:colLast="0"/>
      <w:bookmarkEnd w:id="40"/>
      <w:r w:rsidRPr="00346E40">
        <w:rPr>
          <w:rFonts w:ascii="Times New Roman" w:eastAsia="Times New Roman" w:hAnsi="Times New Roman" w:cs="Times New Roman"/>
          <w:b/>
          <w:sz w:val="28"/>
          <w:szCs w:val="28"/>
          <w:lang w:bidi="en-US"/>
        </w:rPr>
        <w:t>Article (6)</w:t>
      </w:r>
    </w:p>
    <w:p w14:paraId="6B5E7A63" w14:textId="1F02EAF7" w:rsidR="0095647A" w:rsidRDefault="00046CAF">
      <w:pPr>
        <w:spacing w:line="360" w:lineRule="auto"/>
        <w:rPr>
          <w:rFonts w:ascii="Times New Roman" w:eastAsia="Times New Roman" w:hAnsi="Times New Roman" w:cs="Times New Roman"/>
          <w:sz w:val="28"/>
          <w:szCs w:val="28"/>
        </w:rPr>
      </w:pPr>
      <w:bookmarkStart w:id="41" w:name="_heulycn3zy9v" w:colFirst="0" w:colLast="0"/>
      <w:bookmarkEnd w:id="41"/>
      <w:r>
        <w:rPr>
          <w:rFonts w:ascii="Times New Roman" w:eastAsia="Times New Roman" w:hAnsi="Times New Roman" w:cs="Times New Roman"/>
          <w:sz w:val="28"/>
          <w:szCs w:val="28"/>
          <w:lang w:bidi="en-US"/>
        </w:rPr>
        <w:t>If an employee under referral at disposal wishes to be transferred to production, he may be paid his salary for the entire under referral period, which he should have spent at the disposal of the General Authority for Manpower, as a lump sum. The employee’s employer shall pay his salary and the financial consideration of the leaves to which he is entitled throughout the term of his service in accordance with the law.</w:t>
      </w:r>
    </w:p>
    <w:p w14:paraId="228A1A4F" w14:textId="77777777" w:rsidR="0095647A" w:rsidRPr="00346E40" w:rsidRDefault="0095647A">
      <w:pPr>
        <w:spacing w:line="360" w:lineRule="auto"/>
        <w:rPr>
          <w:rFonts w:ascii="Times New Roman" w:eastAsia="Times New Roman" w:hAnsi="Times New Roman" w:cs="Times New Roman"/>
          <w:bCs/>
          <w:sz w:val="28"/>
          <w:szCs w:val="28"/>
        </w:rPr>
      </w:pPr>
      <w:bookmarkStart w:id="42" w:name="_5wx0ezhksr6f" w:colFirst="0" w:colLast="0"/>
      <w:bookmarkEnd w:id="42"/>
    </w:p>
    <w:p w14:paraId="2720035F" w14:textId="77777777" w:rsidR="0095647A" w:rsidRPr="00346E40" w:rsidRDefault="00046CAF">
      <w:pPr>
        <w:spacing w:line="360" w:lineRule="auto"/>
        <w:rPr>
          <w:rFonts w:ascii="Times New Roman" w:eastAsia="Times New Roman" w:hAnsi="Times New Roman" w:cs="Times New Roman"/>
          <w:b/>
          <w:bCs/>
          <w:sz w:val="28"/>
          <w:szCs w:val="28"/>
        </w:rPr>
      </w:pPr>
      <w:bookmarkStart w:id="43" w:name="_q8r95goi3pd0" w:colFirst="0" w:colLast="0"/>
      <w:bookmarkEnd w:id="43"/>
      <w:r w:rsidRPr="00346E40">
        <w:rPr>
          <w:rFonts w:ascii="Times New Roman" w:eastAsia="Times New Roman" w:hAnsi="Times New Roman" w:cs="Times New Roman"/>
          <w:b/>
          <w:sz w:val="28"/>
          <w:szCs w:val="28"/>
          <w:lang w:bidi="en-US"/>
        </w:rPr>
        <w:lastRenderedPageBreak/>
        <w:t>Article (7)</w:t>
      </w:r>
    </w:p>
    <w:p w14:paraId="122E0F9B" w14:textId="77777777" w:rsidR="0095647A" w:rsidRDefault="00046CAF">
      <w:pPr>
        <w:spacing w:line="360" w:lineRule="auto"/>
        <w:rPr>
          <w:rFonts w:ascii="Times New Roman" w:eastAsia="Times New Roman" w:hAnsi="Times New Roman" w:cs="Times New Roman"/>
          <w:sz w:val="28"/>
          <w:szCs w:val="28"/>
        </w:rPr>
      </w:pPr>
      <w:bookmarkStart w:id="44" w:name="_6pg11fgop91d" w:colFirst="0" w:colLast="0"/>
      <w:bookmarkEnd w:id="44"/>
      <w:r>
        <w:rPr>
          <w:rFonts w:ascii="Times New Roman" w:eastAsia="Times New Roman" w:hAnsi="Times New Roman" w:cs="Times New Roman"/>
          <w:sz w:val="28"/>
          <w:szCs w:val="28"/>
          <w:lang w:bidi="en-US"/>
        </w:rPr>
        <w:t>An employee may not be referred at disposal if he is called for national service, until the expiry of the call period. Referral at disposal shall not repeal the decisions related to disciplinary measures, including suspension from work for the benefit of the investigation.</w:t>
      </w:r>
    </w:p>
    <w:p w14:paraId="0C197AB7" w14:textId="77777777" w:rsidR="0095647A" w:rsidRPr="00346E40" w:rsidRDefault="0095647A">
      <w:pPr>
        <w:spacing w:line="360" w:lineRule="auto"/>
        <w:rPr>
          <w:rFonts w:ascii="Times New Roman" w:eastAsia="Times New Roman" w:hAnsi="Times New Roman" w:cs="Times New Roman"/>
          <w:bCs/>
          <w:sz w:val="28"/>
          <w:szCs w:val="28"/>
        </w:rPr>
      </w:pPr>
      <w:bookmarkStart w:id="45" w:name="_m2qryt5kpo7y" w:colFirst="0" w:colLast="0"/>
      <w:bookmarkEnd w:id="45"/>
    </w:p>
    <w:p w14:paraId="488563F2" w14:textId="77777777" w:rsidR="0095647A" w:rsidRPr="00346E40" w:rsidRDefault="00046CAF">
      <w:pPr>
        <w:spacing w:line="360" w:lineRule="auto"/>
        <w:rPr>
          <w:rFonts w:ascii="Times New Roman" w:eastAsia="Times New Roman" w:hAnsi="Times New Roman" w:cs="Times New Roman"/>
          <w:b/>
          <w:bCs/>
          <w:sz w:val="28"/>
          <w:szCs w:val="28"/>
        </w:rPr>
      </w:pPr>
      <w:bookmarkStart w:id="46" w:name="_kpvvwt8o1srz" w:colFirst="0" w:colLast="0"/>
      <w:bookmarkEnd w:id="46"/>
      <w:r w:rsidRPr="00346E40">
        <w:rPr>
          <w:rFonts w:ascii="Times New Roman" w:eastAsia="Times New Roman" w:hAnsi="Times New Roman" w:cs="Times New Roman"/>
          <w:b/>
          <w:sz w:val="28"/>
          <w:szCs w:val="28"/>
          <w:lang w:bidi="en-US"/>
        </w:rPr>
        <w:t>Article (8)</w:t>
      </w:r>
    </w:p>
    <w:p w14:paraId="40580DDC" w14:textId="77777777" w:rsidR="0095647A" w:rsidRDefault="00046CAF">
      <w:pPr>
        <w:spacing w:line="360" w:lineRule="auto"/>
        <w:rPr>
          <w:rFonts w:ascii="Times New Roman" w:eastAsia="Times New Roman" w:hAnsi="Times New Roman" w:cs="Times New Roman"/>
          <w:sz w:val="28"/>
          <w:szCs w:val="28"/>
        </w:rPr>
      </w:pPr>
      <w:bookmarkStart w:id="47" w:name="_2k5zi0ddev0k" w:colFirst="0" w:colLast="0"/>
      <w:bookmarkEnd w:id="47"/>
      <w:r>
        <w:rPr>
          <w:rFonts w:ascii="Times New Roman" w:eastAsia="Times New Roman" w:hAnsi="Times New Roman" w:cs="Times New Roman"/>
          <w:sz w:val="28"/>
          <w:szCs w:val="28"/>
          <w:lang w:bidi="en-US"/>
        </w:rPr>
        <w:t>An employee under referral at the disposal of the General Authority for Manpower shall be considered in-service throughout the referral period. The Management Committee of the Authority shall have all the powers vested in his employer in relation to his functional affairs.</w:t>
      </w:r>
    </w:p>
    <w:p w14:paraId="0D188DB0" w14:textId="77777777" w:rsidR="0095647A" w:rsidRPr="00346E40" w:rsidRDefault="0095647A">
      <w:pPr>
        <w:spacing w:line="360" w:lineRule="auto"/>
        <w:rPr>
          <w:rFonts w:ascii="Times New Roman" w:eastAsia="Times New Roman" w:hAnsi="Times New Roman" w:cs="Times New Roman"/>
          <w:bCs/>
          <w:sz w:val="28"/>
          <w:szCs w:val="28"/>
        </w:rPr>
      </w:pPr>
      <w:bookmarkStart w:id="48" w:name="_pvfmx312h4su" w:colFirst="0" w:colLast="0"/>
      <w:bookmarkEnd w:id="48"/>
    </w:p>
    <w:p w14:paraId="02004779" w14:textId="77777777" w:rsidR="0095647A" w:rsidRPr="00346E40" w:rsidRDefault="00046CAF">
      <w:pPr>
        <w:spacing w:line="360" w:lineRule="auto"/>
        <w:rPr>
          <w:rFonts w:ascii="Times New Roman" w:eastAsia="Times New Roman" w:hAnsi="Times New Roman" w:cs="Times New Roman"/>
          <w:b/>
          <w:bCs/>
          <w:sz w:val="28"/>
          <w:szCs w:val="28"/>
        </w:rPr>
      </w:pPr>
      <w:bookmarkStart w:id="49" w:name="_jonvolecglyg" w:colFirst="0" w:colLast="0"/>
      <w:bookmarkEnd w:id="49"/>
      <w:r w:rsidRPr="00346E40">
        <w:rPr>
          <w:rFonts w:ascii="Times New Roman" w:eastAsia="Times New Roman" w:hAnsi="Times New Roman" w:cs="Times New Roman"/>
          <w:b/>
          <w:sz w:val="28"/>
          <w:szCs w:val="28"/>
          <w:lang w:bidi="en-US"/>
        </w:rPr>
        <w:t>Article (9)</w:t>
      </w:r>
    </w:p>
    <w:p w14:paraId="5FC298B7" w14:textId="77777777" w:rsidR="0095647A" w:rsidRDefault="00046CAF">
      <w:pPr>
        <w:spacing w:line="360" w:lineRule="auto"/>
        <w:rPr>
          <w:rFonts w:ascii="Times New Roman" w:eastAsia="Times New Roman" w:hAnsi="Times New Roman" w:cs="Times New Roman"/>
          <w:sz w:val="28"/>
          <w:szCs w:val="28"/>
        </w:rPr>
      </w:pPr>
      <w:bookmarkStart w:id="50" w:name="_swtix1xwocal" w:colFirst="0" w:colLast="0"/>
      <w:bookmarkEnd w:id="50"/>
      <w:r>
        <w:rPr>
          <w:rFonts w:ascii="Times New Roman" w:eastAsia="Times New Roman" w:hAnsi="Times New Roman" w:cs="Times New Roman"/>
          <w:sz w:val="28"/>
          <w:szCs w:val="28"/>
          <w:lang w:bidi="en-US"/>
        </w:rPr>
        <w:t>The employer shall be informed of the decision to refer the employee to retirement in order to take, on an expedited manner, the applicable measures in this regard and coordinate with the Social Security Fund’s management to ensure that the employee's pension is allocated at the prescribed times.</w:t>
      </w:r>
    </w:p>
    <w:p w14:paraId="47698152" w14:textId="77777777" w:rsidR="0095647A" w:rsidRPr="00346E40" w:rsidRDefault="0095647A">
      <w:pPr>
        <w:spacing w:line="360" w:lineRule="auto"/>
        <w:rPr>
          <w:rFonts w:ascii="Times New Roman" w:eastAsia="Times New Roman" w:hAnsi="Times New Roman" w:cs="Times New Roman"/>
          <w:bCs/>
          <w:sz w:val="28"/>
          <w:szCs w:val="28"/>
        </w:rPr>
      </w:pPr>
      <w:bookmarkStart w:id="51" w:name="_8x604u8uf958" w:colFirst="0" w:colLast="0"/>
      <w:bookmarkEnd w:id="51"/>
    </w:p>
    <w:p w14:paraId="3592F34B" w14:textId="77777777" w:rsidR="0095647A" w:rsidRPr="00346E40" w:rsidRDefault="00046CAF">
      <w:pPr>
        <w:spacing w:line="360" w:lineRule="auto"/>
        <w:rPr>
          <w:rFonts w:ascii="Times New Roman" w:eastAsia="Times New Roman" w:hAnsi="Times New Roman" w:cs="Times New Roman"/>
          <w:b/>
          <w:bCs/>
          <w:sz w:val="28"/>
          <w:szCs w:val="28"/>
        </w:rPr>
      </w:pPr>
      <w:bookmarkStart w:id="52" w:name="_kvx0ekaavr8m" w:colFirst="0" w:colLast="0"/>
      <w:bookmarkEnd w:id="52"/>
      <w:r w:rsidRPr="00346E40">
        <w:rPr>
          <w:rFonts w:ascii="Times New Roman" w:eastAsia="Times New Roman" w:hAnsi="Times New Roman" w:cs="Times New Roman"/>
          <w:b/>
          <w:sz w:val="28"/>
          <w:szCs w:val="28"/>
          <w:lang w:bidi="en-US"/>
        </w:rPr>
        <w:t>Article (10)</w:t>
      </w:r>
    </w:p>
    <w:p w14:paraId="618C492E" w14:textId="29B5AB4A" w:rsidR="0095647A" w:rsidRDefault="00046CAF">
      <w:pPr>
        <w:spacing w:line="360" w:lineRule="auto"/>
        <w:rPr>
          <w:rFonts w:ascii="Times New Roman" w:eastAsia="Times New Roman" w:hAnsi="Times New Roman" w:cs="Times New Roman"/>
          <w:sz w:val="28"/>
          <w:szCs w:val="28"/>
        </w:rPr>
      </w:pPr>
      <w:bookmarkStart w:id="53" w:name="_tw6kez4qc5fs" w:colFirst="0" w:colLast="0"/>
      <w:bookmarkEnd w:id="53"/>
      <w:r>
        <w:rPr>
          <w:rFonts w:ascii="Times New Roman" w:eastAsia="Times New Roman" w:hAnsi="Times New Roman" w:cs="Times New Roman"/>
          <w:sz w:val="28"/>
          <w:szCs w:val="28"/>
          <w:lang w:bidi="en-US"/>
        </w:rPr>
        <w:lastRenderedPageBreak/>
        <w:t>This Decree shall enter into force as of the date of its issuance and shall be published in the official gazette.</w:t>
      </w:r>
    </w:p>
    <w:p w14:paraId="5DE047BF" w14:textId="77777777" w:rsidR="0095647A" w:rsidRPr="00346E40" w:rsidRDefault="0095647A">
      <w:pPr>
        <w:spacing w:line="360" w:lineRule="auto"/>
        <w:rPr>
          <w:rFonts w:ascii="Times New Roman" w:eastAsia="Times New Roman" w:hAnsi="Times New Roman" w:cs="Times New Roman"/>
          <w:bCs/>
          <w:sz w:val="28"/>
          <w:szCs w:val="28"/>
        </w:rPr>
      </w:pPr>
      <w:bookmarkStart w:id="54" w:name="_pztx9ra8fgop" w:colFirst="0" w:colLast="0"/>
      <w:bookmarkEnd w:id="54"/>
    </w:p>
    <w:p w14:paraId="002D42A8" w14:textId="77777777" w:rsidR="0095647A" w:rsidRPr="00346E40" w:rsidRDefault="00046CAF">
      <w:pPr>
        <w:spacing w:line="240" w:lineRule="auto"/>
        <w:ind w:left="5760" w:firstLine="720"/>
        <w:rPr>
          <w:rFonts w:ascii="Times New Roman" w:eastAsia="Times New Roman" w:hAnsi="Times New Roman" w:cs="Times New Roman"/>
          <w:b/>
          <w:bCs/>
          <w:sz w:val="28"/>
          <w:szCs w:val="28"/>
        </w:rPr>
      </w:pPr>
      <w:bookmarkStart w:id="55" w:name="_q1fect2xw7zo" w:colFirst="0" w:colLast="0"/>
      <w:bookmarkEnd w:id="55"/>
      <w:r w:rsidRPr="00346E40">
        <w:rPr>
          <w:rFonts w:ascii="Times New Roman" w:eastAsia="Times New Roman" w:hAnsi="Times New Roman" w:cs="Times New Roman"/>
          <w:b/>
          <w:sz w:val="28"/>
          <w:szCs w:val="28"/>
          <w:lang w:bidi="en-US"/>
        </w:rPr>
        <w:t>The General People’s Committee</w:t>
      </w:r>
    </w:p>
    <w:p w14:paraId="6362D975" w14:textId="77777777" w:rsidR="0095647A" w:rsidRPr="00346E40" w:rsidRDefault="00046CAF">
      <w:pPr>
        <w:spacing w:line="240" w:lineRule="auto"/>
        <w:rPr>
          <w:rFonts w:ascii="Times New Roman" w:eastAsia="Times New Roman" w:hAnsi="Times New Roman" w:cs="Times New Roman"/>
          <w:b/>
          <w:bCs/>
          <w:sz w:val="28"/>
          <w:szCs w:val="28"/>
        </w:rPr>
      </w:pPr>
      <w:bookmarkStart w:id="56" w:name="_brcwsbyaqmht" w:colFirst="0" w:colLast="0"/>
      <w:bookmarkEnd w:id="56"/>
      <w:r w:rsidRPr="00346E40">
        <w:rPr>
          <w:rFonts w:ascii="Times New Roman" w:eastAsia="Times New Roman" w:hAnsi="Times New Roman" w:cs="Times New Roman"/>
          <w:b/>
          <w:sz w:val="28"/>
          <w:szCs w:val="28"/>
          <w:lang w:bidi="en-US"/>
        </w:rPr>
        <w:t>Issued on: 19 Jumada Al-Akhera 1404 FDP</w:t>
      </w:r>
    </w:p>
    <w:p w14:paraId="623D40B5" w14:textId="77777777" w:rsidR="0095647A" w:rsidRPr="00346E40" w:rsidRDefault="00046CAF">
      <w:pPr>
        <w:spacing w:line="240" w:lineRule="auto"/>
        <w:rPr>
          <w:rFonts w:ascii="Times New Roman" w:eastAsia="Times New Roman" w:hAnsi="Times New Roman" w:cs="Times New Roman"/>
          <w:b/>
          <w:bCs/>
          <w:color w:val="333333"/>
          <w:sz w:val="28"/>
          <w:szCs w:val="28"/>
          <w:highlight w:val="white"/>
        </w:rPr>
      </w:pPr>
      <w:bookmarkStart w:id="57" w:name="_7ncus2wvoff8" w:colFirst="0" w:colLast="0"/>
      <w:bookmarkEnd w:id="57"/>
      <w:r w:rsidRPr="00346E40">
        <w:rPr>
          <w:rFonts w:ascii="Times New Roman" w:eastAsia="Times New Roman" w:hAnsi="Times New Roman" w:cs="Times New Roman"/>
          <w:b/>
          <w:sz w:val="28"/>
          <w:szCs w:val="28"/>
          <w:lang w:bidi="en-US"/>
        </w:rPr>
        <w:t>Corresponding to: 3 December 1423 FBP</w:t>
      </w:r>
    </w:p>
    <w:sectPr w:rsidR="0095647A" w:rsidRPr="00346E40" w:rsidSect="00AA3212">
      <w:footerReference w:type="default" r:id="rId7"/>
      <w:pgSz w:w="11906" w:h="16838"/>
      <w:pgMar w:top="1440" w:right="1440" w:bottom="1440" w:left="1440" w:header="142" w:footer="28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53164" w14:textId="77777777" w:rsidR="00046CAF" w:rsidRDefault="00046CAF">
      <w:pPr>
        <w:spacing w:after="0" w:line="240" w:lineRule="auto"/>
      </w:pPr>
      <w:r>
        <w:separator/>
      </w:r>
    </w:p>
  </w:endnote>
  <w:endnote w:type="continuationSeparator" w:id="0">
    <w:p w14:paraId="5DB336D1" w14:textId="77777777" w:rsidR="00046CAF" w:rsidRDefault="0004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3DE02" w14:textId="77777777" w:rsidR="0095647A" w:rsidRDefault="00046CAF">
    <w:pPr>
      <w:pBdr>
        <w:top w:val="nil"/>
        <w:left w:val="nil"/>
        <w:bottom w:val="nil"/>
        <w:right w:val="nil"/>
        <w:between w:val="nil"/>
      </w:pBdr>
      <w:tabs>
        <w:tab w:val="center" w:pos="4253"/>
      </w:tabs>
      <w:spacing w:after="0" w:line="240" w:lineRule="auto"/>
      <w:ind w:hanging="284"/>
      <w:jc w:val="center"/>
      <w:rPr>
        <w:color w:val="000000"/>
      </w:rPr>
    </w:pPr>
    <w:r>
      <w:rPr>
        <w:noProof/>
        <w:lang w:bidi="en-US"/>
      </w:rPr>
      <mc:AlternateContent>
        <mc:Choice Requires="wps">
          <w:drawing>
            <wp:anchor distT="0" distB="0" distL="0" distR="0" simplePos="0" relativeHeight="251658240" behindDoc="0" locked="0" layoutInCell="1" hidden="0" allowOverlap="1" wp14:anchorId="4667CEB2" wp14:editId="17714A86">
              <wp:simplePos x="0" y="0"/>
              <wp:positionH relativeFrom="column">
                <wp:posOffset>-952499</wp:posOffset>
              </wp:positionH>
              <wp:positionV relativeFrom="paragraph">
                <wp:posOffset>38100</wp:posOffset>
              </wp:positionV>
              <wp:extent cx="7750175" cy="1092835"/>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1475675" y="3238345"/>
                        <a:ext cx="7740650" cy="1083310"/>
                      </a:xfrm>
                      <a:prstGeom prst="rect">
                        <a:avLst/>
                      </a:prstGeom>
                      <a:noFill/>
                      <a:ln w="9525" cap="flat" cmpd="sng">
                        <a:solidFill>
                          <a:schemeClr val="dk1"/>
                        </a:solidFill>
                        <a:prstDash val="solid"/>
                        <a:miter lim="800000"/>
                        <a:headEnd type="none" w="sm" len="sm"/>
                        <a:tailEnd type="none" w="sm" len="sm"/>
                      </a:ln>
                    </wps:spPr>
                    <wps:txbx>
                      <w:txbxContent>
                        <w:p w14:paraId="56F0966A" w14:textId="77777777" w:rsidR="0095647A" w:rsidRDefault="0095647A">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667CEB2" id="Rectangle 1" o:spid="_x0000_s1026" style="position:absolute;left:0;text-align:left;margin-left:-75pt;margin-top:3pt;width:610.25pt;height:86.0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NZIwIAADAEAAAOAAAAZHJzL2Uyb0RvYy54bWysU9tu2zAMfR+wfxD0vtjOvUGcPjTLMKDY&#10;gnX7AEaSY2G6TVJj5+9HyWmbbQ8FivlBJi2aPIeHXN/2WpGT8EFaU9NqVFIiDLNcmmNNf3zffVhS&#10;EiIYDsoaUdOzCPR28/7dunMrMbatVVx4gklMWHWupm2MblUUgbVCQxhZJwxeNtZriOj6Y8E9dJhd&#10;q2JclvOis547b5kIAb9uh0u6yfmbRrD4tWmCiETVFLHFfPp8HtJZbNawOnpwrWQXGPAGFBqkwaLP&#10;qbYQgTx6+U8qLZm3wTZxxKwubNNIJjIHZFOVf7F5aMGJzAWbE9xzm8L/S8u+nPaeSI7aUWJAo0Tf&#10;sGlgjkqQKrWnc2GFUQ9u7y9eQDNx7Ruv0xtZkB4TTBez+WJGybmmk/FkOZnOhvaKPhKGAYvFtJzP&#10;UAWGEVW5nEyqLEDxksr5ED8Jq0kyauoRSm4rnO5DxPIY+hSSKhu7k0plDZUhXU1vZmMEwAAnqVEQ&#10;0dQOuQVzzGmCVZKnX9LPecbEnfLkBDgd/GemixX+iErlthDaIShfDay0jDi5SuqaLsv0DJ9bAfyj&#10;4SSeHfbS4NDTBCxoSpTAFUEj440g1etxiEYZpJ1EGNqerNgf+osWB8vPKGBwbCcR6T2EuAePI4xy&#10;djjWWPDXI3gEoT4bnJubapo6FK8df+0crh0wrLW4LSx6SgbnLubtSVokKDiWWZXLCqW5v/Zz1Mui&#10;b34DAAD//wMAUEsDBBQABgAIAAAAIQBn8biX3gAAAAsBAAAPAAAAZHJzL2Rvd25yZXYueG1sTI/N&#10;TsMwEITvSLyDtUjcWjtF/VGIUyFQH4BQBEc3XuKo8TrEbhLenu0JTrurGc1+U+xn34kRh9gG0pAt&#10;FQikOtiWGg3Ht8NiByImQ9Z0gVDDD0bYl7c3hcltmOgVxyo1gkMo5kaDS6nPpYy1Q2/iMvRIrH2F&#10;wZvE59BIO5iJw30nV0ptpDct8Qdnenx2WJ+ri9cwTN9GylUcP49T9dGf6eAeXt61vr+bnx5BJJzT&#10;nxmu+IwOJTOdwoVsFJ2GRbZWXCZp2PC4GtRWrUGceNvuMpBlIf93KH8BAAD//wMAUEsBAi0AFAAG&#10;AAgAAAAhALaDOJL+AAAA4QEAABMAAAAAAAAAAAAAAAAAAAAAAFtDb250ZW50X1R5cGVzXS54bWxQ&#10;SwECLQAUAAYACAAAACEAOP0h/9YAAACUAQAACwAAAAAAAAAAAAAAAAAvAQAAX3JlbHMvLnJlbHNQ&#10;SwECLQAUAAYACAAAACEAT0XjWSMCAAAwBAAADgAAAAAAAAAAAAAAAAAuAgAAZHJzL2Uyb0RvYy54&#10;bWxQSwECLQAUAAYACAAAACEAZ/G4l94AAAALAQAADwAAAAAAAAAAAAAAAAB9BAAAZHJzL2Rvd25y&#10;ZXYueG1sUEsFBgAAAAAEAAQA8wAAAIgFAAAAAA==&#10;" filled="f" strokecolor="black [3200]">
              <v:stroke startarrowwidth="narrow" startarrowlength="short" endarrowwidth="narrow" endarrowlength="short"/>
              <v:textbox inset="2.53958mm,2.53958mm,2.53958mm,2.53958mm">
                <w:txbxContent>
                  <w:p w14:paraId="56F0966A" w14:textId="77777777" w:rsidR="0095647A" w:rsidRDefault="0095647A">
                    <w:pPr>
                      <w:spacing w:after="0" w:line="240" w:lineRule="auto"/>
                      <w:textDirection w:val="btLr"/>
                    </w:pPr>
                  </w:p>
                </w:txbxContent>
              </v:textbox>
              <w10:wrap type="square"/>
            </v:rect>
          </w:pict>
        </mc:Fallback>
      </mc:AlternateContent>
    </w:r>
    <w:r>
      <w:rPr>
        <w:noProof/>
        <w:lang w:bidi="en-US"/>
      </w:rPr>
      <w:drawing>
        <wp:anchor distT="0" distB="0" distL="114300" distR="114300" simplePos="0" relativeHeight="251659264" behindDoc="0" locked="0" layoutInCell="1" hidden="0" allowOverlap="1" wp14:anchorId="7044B192" wp14:editId="165D2567">
          <wp:simplePos x="0" y="0"/>
          <wp:positionH relativeFrom="column">
            <wp:posOffset>5304790</wp:posOffset>
          </wp:positionH>
          <wp:positionV relativeFrom="paragraph">
            <wp:posOffset>14605</wp:posOffset>
          </wp:positionV>
          <wp:extent cx="1209675" cy="844550"/>
          <wp:effectExtent l="0" t="0" r="0" b="0"/>
          <wp:wrapNone/>
          <wp:docPr id="3" name="image1.png" descr="P:\Logo\DCAF logo_Arabic_black_highres.png"/>
          <wp:cNvGraphicFramePr/>
          <a:graphic xmlns:a="http://schemas.openxmlformats.org/drawingml/2006/main">
            <a:graphicData uri="http://schemas.openxmlformats.org/drawingml/2006/picture">
              <pic:pic xmlns:pic="http://schemas.openxmlformats.org/drawingml/2006/picture">
                <pic:nvPicPr>
                  <pic:cNvPr id="0" name="image1.png" descr="P:\Logo\DCAF logo_Arabic_black_highres.png"/>
                  <pic:cNvPicPr preferRelativeResize="0"/>
                </pic:nvPicPr>
                <pic:blipFill>
                  <a:blip r:embed="rId1"/>
                  <a:srcRect/>
                  <a:stretch>
                    <a:fillRect/>
                  </a:stretch>
                </pic:blipFill>
                <pic:spPr>
                  <a:xfrm>
                    <a:off x="0" y="0"/>
                    <a:ext cx="1209675" cy="844550"/>
                  </a:xfrm>
                  <a:prstGeom prst="rect">
                    <a:avLst/>
                  </a:prstGeom>
                  <a:ln/>
                </pic:spPr>
              </pic:pic>
            </a:graphicData>
          </a:graphic>
        </wp:anchor>
      </w:drawing>
    </w:r>
    <w:r>
      <w:rPr>
        <w:noProof/>
        <w:lang w:bidi="en-US"/>
      </w:rPr>
      <w:drawing>
        <wp:anchor distT="0" distB="0" distL="114300" distR="114300" simplePos="0" relativeHeight="251660288" behindDoc="0" locked="0" layoutInCell="1" hidden="0" allowOverlap="1" wp14:anchorId="0E70A189" wp14:editId="11F1B254">
          <wp:simplePos x="0" y="0"/>
          <wp:positionH relativeFrom="column">
            <wp:posOffset>-470940</wp:posOffset>
          </wp:positionH>
          <wp:positionV relativeFrom="paragraph">
            <wp:posOffset>139471</wp:posOffset>
          </wp:positionV>
          <wp:extent cx="1053389" cy="519855"/>
          <wp:effectExtent l="0" t="0" r="0" b="0"/>
          <wp:wrapNone/>
          <wp:docPr id="2" name="image2.gif" descr="C:\Users\hanssm\Desktop\DCAF-Trust-Fund-for-North-Africa_Final_72.gif"/>
          <wp:cNvGraphicFramePr/>
          <a:graphic xmlns:a="http://schemas.openxmlformats.org/drawingml/2006/main">
            <a:graphicData uri="http://schemas.openxmlformats.org/drawingml/2006/picture">
              <pic:pic xmlns:pic="http://schemas.openxmlformats.org/drawingml/2006/picture">
                <pic:nvPicPr>
                  <pic:cNvPr id="0" name="image2.gif" descr="C:\Users\hanssm\Desktop\DCAF-Trust-Fund-for-North-Africa_Final_72.gif"/>
                  <pic:cNvPicPr preferRelativeResize="0"/>
                </pic:nvPicPr>
                <pic:blipFill>
                  <a:blip r:embed="rId2"/>
                  <a:srcRect/>
                  <a:stretch>
                    <a:fillRect/>
                  </a:stretch>
                </pic:blipFill>
                <pic:spPr>
                  <a:xfrm>
                    <a:off x="0" y="0"/>
                    <a:ext cx="1053389" cy="519855"/>
                  </a:xfrm>
                  <a:prstGeom prst="rect">
                    <a:avLst/>
                  </a:prstGeom>
                  <a:ln/>
                </pic:spPr>
              </pic:pic>
            </a:graphicData>
          </a:graphic>
        </wp:anchor>
      </w:drawing>
    </w:r>
  </w:p>
  <w:p w14:paraId="1358CDFE" w14:textId="77777777" w:rsidR="0095647A" w:rsidRDefault="00046CAF">
    <w:pPr>
      <w:pBdr>
        <w:top w:val="nil"/>
        <w:left w:val="nil"/>
        <w:bottom w:val="nil"/>
        <w:right w:val="nil"/>
        <w:between w:val="nil"/>
      </w:pBdr>
      <w:tabs>
        <w:tab w:val="center" w:pos="4253"/>
      </w:tabs>
      <w:spacing w:after="0" w:line="240" w:lineRule="auto"/>
      <w:ind w:left="-142" w:hanging="283"/>
      <w:jc w:val="center"/>
      <w:rPr>
        <w:i/>
        <w:color w:val="000000"/>
        <w:sz w:val="16"/>
        <w:szCs w:val="16"/>
      </w:rPr>
    </w:pPr>
    <w:r>
      <w:rPr>
        <w:i/>
        <w:color w:val="000000"/>
        <w:sz w:val="16"/>
        <w:szCs w:val="16"/>
        <w:lang w:bidi="en-US"/>
      </w:rPr>
      <w:t xml:space="preserve">This document constitutes an un-official transcription/translation. DCAF cannot be held responsible for damages that may </w:t>
    </w:r>
  </w:p>
  <w:p w14:paraId="50E345E4" w14:textId="77777777" w:rsidR="0095647A" w:rsidRDefault="00046CAF">
    <w:pPr>
      <w:pBdr>
        <w:top w:val="nil"/>
        <w:left w:val="nil"/>
        <w:bottom w:val="nil"/>
        <w:right w:val="nil"/>
        <w:between w:val="nil"/>
      </w:pBdr>
      <w:tabs>
        <w:tab w:val="center" w:pos="4253"/>
      </w:tabs>
      <w:spacing w:after="0" w:line="240" w:lineRule="auto"/>
      <w:ind w:left="-142" w:hanging="283"/>
      <w:jc w:val="center"/>
      <w:rPr>
        <w:i/>
        <w:color w:val="000000"/>
        <w:sz w:val="16"/>
        <w:szCs w:val="16"/>
      </w:rPr>
    </w:pPr>
    <w:r>
      <w:rPr>
        <w:i/>
        <w:color w:val="000000"/>
        <w:sz w:val="16"/>
        <w:szCs w:val="16"/>
        <w:lang w:bidi="en-US"/>
      </w:rPr>
      <w:t>arise from its use. For official reference, please refer to the original text as published by the Libyan Authorities.</w:t>
    </w:r>
  </w:p>
  <w:p w14:paraId="39FD13A5" w14:textId="77777777" w:rsidR="0095647A" w:rsidRDefault="00046CAF">
    <w:pPr>
      <w:pBdr>
        <w:top w:val="nil"/>
        <w:left w:val="nil"/>
        <w:bottom w:val="nil"/>
        <w:right w:val="nil"/>
        <w:between w:val="nil"/>
      </w:pBdr>
      <w:tabs>
        <w:tab w:val="center" w:pos="4253"/>
      </w:tabs>
      <w:spacing w:before="40" w:after="0" w:line="240" w:lineRule="auto"/>
      <w:ind w:left="-142" w:hanging="283"/>
      <w:jc w:val="center"/>
      <w:rPr>
        <w:i/>
        <w:color w:val="000000"/>
        <w:sz w:val="16"/>
        <w:szCs w:val="16"/>
      </w:rPr>
    </w:pPr>
    <w:r>
      <w:rPr>
        <w:i/>
        <w:color w:val="000000"/>
        <w:sz w:val="16"/>
        <w:szCs w:val="16"/>
        <w:lang w:bidi="en-US"/>
      </w:rPr>
      <w:t>DCAF’s Libyan Security Sector Legislation project is financed by the DCAF Trust Fund for North Africa.</w:t>
    </w:r>
  </w:p>
  <w:p w14:paraId="3CE77649" w14:textId="77777777" w:rsidR="0095647A" w:rsidRDefault="00AB6B1C">
    <w:pPr>
      <w:pBdr>
        <w:top w:val="nil"/>
        <w:left w:val="nil"/>
        <w:bottom w:val="nil"/>
        <w:right w:val="nil"/>
        <w:between w:val="nil"/>
      </w:pBdr>
      <w:tabs>
        <w:tab w:val="center" w:pos="4253"/>
      </w:tabs>
      <w:spacing w:before="40" w:after="0" w:line="240" w:lineRule="auto"/>
      <w:ind w:left="-142" w:hanging="283"/>
      <w:jc w:val="center"/>
      <w:rPr>
        <w:i/>
        <w:color w:val="000000"/>
        <w:sz w:val="16"/>
        <w:szCs w:val="16"/>
      </w:rPr>
    </w:pPr>
    <w:hyperlink r:id="rId3">
      <w:r w:rsidR="00046CAF">
        <w:rPr>
          <w:i/>
          <w:color w:val="0000FF"/>
          <w:sz w:val="16"/>
          <w:szCs w:val="16"/>
          <w:u w:val="single"/>
          <w:lang w:bidi="en-US"/>
        </w:rPr>
        <w:t>www.security-legislation.ly</w:t>
      </w:r>
    </w:hyperlink>
    <w:r w:rsidR="00046CAF">
      <w:rPr>
        <w:i/>
        <w:color w:val="000000"/>
        <w:sz w:val="16"/>
        <w:szCs w:val="16"/>
        <w:lang w:bidi="en-US"/>
      </w:rPr>
      <w:t xml:space="preserve"> </w:t>
    </w:r>
  </w:p>
  <w:p w14:paraId="16B1A417" w14:textId="77777777" w:rsidR="0095647A" w:rsidRDefault="0095647A">
    <w:pPr>
      <w:pBdr>
        <w:top w:val="nil"/>
        <w:left w:val="nil"/>
        <w:bottom w:val="nil"/>
        <w:right w:val="nil"/>
        <w:between w:val="nil"/>
      </w:pBdr>
      <w:tabs>
        <w:tab w:val="center" w:pos="4253"/>
      </w:tabs>
      <w:spacing w:after="0" w:line="240" w:lineRule="auto"/>
      <w:ind w:left="-142" w:hanging="283"/>
      <w:jc w:val="center"/>
      <w:rPr>
        <w:i/>
        <w:color w:val="000000"/>
        <w:sz w:val="4"/>
        <w:szCs w:val="4"/>
      </w:rPr>
    </w:pPr>
  </w:p>
  <w:p w14:paraId="37F0CA77" w14:textId="77777777" w:rsidR="0095647A" w:rsidRDefault="00046CAF">
    <w:pPr>
      <w:pBdr>
        <w:top w:val="nil"/>
        <w:left w:val="nil"/>
        <w:bottom w:val="nil"/>
        <w:right w:val="nil"/>
        <w:between w:val="nil"/>
      </w:pBdr>
      <w:tabs>
        <w:tab w:val="center" w:pos="4253"/>
      </w:tabs>
      <w:spacing w:after="0" w:line="240" w:lineRule="auto"/>
      <w:ind w:left="-142" w:hanging="283"/>
      <w:jc w:val="center"/>
      <w:rPr>
        <w:color w:val="000000"/>
      </w:rPr>
    </w:pPr>
    <w:r>
      <w:rPr>
        <w:color w:val="000000"/>
        <w:sz w:val="16"/>
        <w:szCs w:val="16"/>
        <w:lang w:bidi="en-US"/>
      </w:rPr>
      <w:t xml:space="preserve">Page </w:t>
    </w:r>
    <w:r>
      <w:rPr>
        <w:b/>
        <w:color w:val="000000"/>
        <w:sz w:val="16"/>
        <w:szCs w:val="16"/>
        <w:lang w:bidi="en-US"/>
      </w:rPr>
      <w:fldChar w:fldCharType="begin"/>
    </w:r>
    <w:r>
      <w:rPr>
        <w:b/>
        <w:color w:val="000000"/>
        <w:sz w:val="16"/>
        <w:szCs w:val="16"/>
        <w:lang w:bidi="en-US"/>
      </w:rPr>
      <w:instrText>PAGE</w:instrText>
    </w:r>
    <w:r>
      <w:rPr>
        <w:b/>
        <w:color w:val="000000"/>
        <w:sz w:val="16"/>
        <w:szCs w:val="16"/>
        <w:lang w:bidi="en-US"/>
      </w:rPr>
      <w:fldChar w:fldCharType="separate"/>
    </w:r>
    <w:r w:rsidR="00D90DCE">
      <w:rPr>
        <w:b/>
        <w:noProof/>
        <w:color w:val="000000"/>
        <w:sz w:val="16"/>
        <w:szCs w:val="16"/>
        <w:lang w:bidi="en-US"/>
      </w:rPr>
      <w:t>3</w:t>
    </w:r>
    <w:r>
      <w:rPr>
        <w:b/>
        <w:color w:val="000000"/>
        <w:sz w:val="16"/>
        <w:szCs w:val="16"/>
        <w:lang w:bidi="en-US"/>
      </w:rPr>
      <w:fldChar w:fldCharType="end"/>
    </w:r>
    <w:r>
      <w:rPr>
        <w:color w:val="000000"/>
        <w:sz w:val="16"/>
        <w:szCs w:val="16"/>
        <w:lang w:bidi="en-US"/>
      </w:rPr>
      <w:t xml:space="preserve"> of </w:t>
    </w:r>
    <w:r>
      <w:rPr>
        <w:b/>
        <w:color w:val="000000"/>
        <w:sz w:val="16"/>
        <w:szCs w:val="16"/>
        <w:lang w:bidi="en-US"/>
      </w:rPr>
      <w:fldChar w:fldCharType="begin"/>
    </w:r>
    <w:r>
      <w:rPr>
        <w:b/>
        <w:color w:val="000000"/>
        <w:sz w:val="16"/>
        <w:szCs w:val="16"/>
        <w:lang w:bidi="en-US"/>
      </w:rPr>
      <w:instrText>NUMPAGES</w:instrText>
    </w:r>
    <w:r>
      <w:rPr>
        <w:b/>
        <w:color w:val="000000"/>
        <w:sz w:val="16"/>
        <w:szCs w:val="16"/>
        <w:lang w:bidi="en-US"/>
      </w:rPr>
      <w:fldChar w:fldCharType="separate"/>
    </w:r>
    <w:r w:rsidR="00D90DCE">
      <w:rPr>
        <w:b/>
        <w:noProof/>
        <w:color w:val="000000"/>
        <w:sz w:val="16"/>
        <w:szCs w:val="16"/>
        <w:lang w:bidi="en-US"/>
      </w:rPr>
      <w:t>5</w:t>
    </w:r>
    <w:r>
      <w:rPr>
        <w:b/>
        <w:color w:val="000000"/>
        <w:sz w:val="16"/>
        <w:szCs w:val="16"/>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90F80" w14:textId="77777777" w:rsidR="00046CAF" w:rsidRDefault="00046CAF">
      <w:pPr>
        <w:spacing w:after="0" w:line="240" w:lineRule="auto"/>
      </w:pPr>
      <w:r>
        <w:separator/>
      </w:r>
    </w:p>
  </w:footnote>
  <w:footnote w:type="continuationSeparator" w:id="0">
    <w:p w14:paraId="51177CD4" w14:textId="77777777" w:rsidR="00046CAF" w:rsidRDefault="00046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32CC2"/>
    <w:multiLevelType w:val="multilevel"/>
    <w:tmpl w:val="81A40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DC3481"/>
    <w:multiLevelType w:val="multilevel"/>
    <w:tmpl w:val="D256A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4F6D6A"/>
    <w:multiLevelType w:val="multilevel"/>
    <w:tmpl w:val="AC446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EE2F05"/>
    <w:multiLevelType w:val="multilevel"/>
    <w:tmpl w:val="05B8A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F66DFA"/>
    <w:multiLevelType w:val="multilevel"/>
    <w:tmpl w:val="C7F6C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07364B"/>
    <w:multiLevelType w:val="multilevel"/>
    <w:tmpl w:val="17B61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E609F2"/>
    <w:multiLevelType w:val="multilevel"/>
    <w:tmpl w:val="9042B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47A"/>
    <w:rsid w:val="00046CAF"/>
    <w:rsid w:val="00346E40"/>
    <w:rsid w:val="007C38A7"/>
    <w:rsid w:val="0095647A"/>
    <w:rsid w:val="00AA3212"/>
    <w:rsid w:val="00AB6B1C"/>
    <w:rsid w:val="00D90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AAB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C3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8A7"/>
  </w:style>
  <w:style w:type="paragraph" w:styleId="Footer">
    <w:name w:val="footer"/>
    <w:basedOn w:val="Normal"/>
    <w:link w:val="FooterChar"/>
    <w:uiPriority w:val="99"/>
    <w:unhideWhenUsed/>
    <w:rsid w:val="007C3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8A7"/>
  </w:style>
  <w:style w:type="paragraph" w:styleId="BalloonText">
    <w:name w:val="Balloon Text"/>
    <w:basedOn w:val="Normal"/>
    <w:link w:val="BalloonTextChar"/>
    <w:uiPriority w:val="99"/>
    <w:semiHidden/>
    <w:unhideWhenUsed/>
    <w:rsid w:val="00D90DC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0DC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security-legislation.ly" TargetMode="External"/><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809</Words>
  <Characters>4612</Characters>
  <Application>Microsoft Office Word</Application>
  <DocSecurity>4</DocSecurity>
  <Lines>38</Lines>
  <Paragraphs>10</Paragraphs>
  <ScaleCrop>false</ScaleCrop>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cp:lastPrinted>2019-05-14T18:54:00Z</cp:lastPrinted>
  <dcterms:created xsi:type="dcterms:W3CDTF">2021-10-21T19:01:00Z</dcterms:created>
  <dcterms:modified xsi:type="dcterms:W3CDTF">2021-10-21T19:01:00Z</dcterms:modified>
</cp:coreProperties>
</file>