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34E9" w14:textId="77777777" w:rsidR="00A74FDA" w:rsidRPr="001C5DA5" w:rsidRDefault="00A74FDA" w:rsidP="00A74FDA">
      <w:pPr>
        <w:pStyle w:val="Body"/>
        <w:spacing w:after="0" w:line="360" w:lineRule="auto"/>
        <w:jc w:val="center"/>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The General People's Committee for Justice and Public Security</w:t>
      </w:r>
    </w:p>
    <w:p w14:paraId="0F73A112" w14:textId="77777777" w:rsidR="00A74FDA" w:rsidRPr="001C5DA5" w:rsidRDefault="00A74FDA" w:rsidP="00A74FDA">
      <w:pPr>
        <w:pStyle w:val="Body"/>
        <w:spacing w:after="0" w:line="360" w:lineRule="auto"/>
        <w:jc w:val="center"/>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Decree No. (267) of 1423 AD</w:t>
      </w:r>
    </w:p>
    <w:p w14:paraId="61F6DB85" w14:textId="77777777" w:rsidR="00A74FDA" w:rsidRPr="001C5DA5" w:rsidRDefault="00A74FDA" w:rsidP="00A74FDA">
      <w:pPr>
        <w:pStyle w:val="Body"/>
        <w:spacing w:after="0" w:line="360" w:lineRule="auto"/>
        <w:jc w:val="center"/>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 xml:space="preserve"> on Regulating the Examinations and Training Courses </w:t>
      </w:r>
    </w:p>
    <w:p w14:paraId="56506F0E" w14:textId="77777777" w:rsidR="00A74FDA" w:rsidRPr="001C5DA5" w:rsidRDefault="00A74FDA" w:rsidP="00A74FDA">
      <w:pPr>
        <w:pStyle w:val="Body"/>
        <w:spacing w:after="0" w:line="360" w:lineRule="auto"/>
        <w:jc w:val="center"/>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Required for the Promotion of Police Members</w:t>
      </w:r>
    </w:p>
    <w:p w14:paraId="66C161F2"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3D77667"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The General People's Committee for Justice and Public Security,</w:t>
      </w:r>
      <w:r w:rsidRPr="001C5DA5">
        <w:rPr>
          <w:rFonts w:ascii="Times New Roman" w:eastAsia="Times New Roman" w:hAnsi="Times New Roman" w:cs="Times New Roman" w:hint="default"/>
          <w:b/>
          <w:sz w:val="28"/>
          <w:szCs w:val="28"/>
          <w:lang w:val="en-US" w:bidi="en-US"/>
        </w:rPr>
        <w:br/>
        <w:t>Upon review of:</w:t>
      </w:r>
    </w:p>
    <w:p w14:paraId="1BE62011" w14:textId="77777777" w:rsidR="00A74FDA" w:rsidRPr="001C5DA5" w:rsidRDefault="00A74FDA" w:rsidP="00A74FDA">
      <w:pPr>
        <w:pStyle w:val="Body"/>
        <w:numPr>
          <w:ilvl w:val="0"/>
          <w:numId w:val="4"/>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Law No. (10) of 1992 AD on Security and Police, as amended; and,</w:t>
      </w:r>
    </w:p>
    <w:p w14:paraId="6668ED10" w14:textId="77777777" w:rsidR="00A74FDA" w:rsidRPr="001C5DA5" w:rsidRDefault="00A74FDA" w:rsidP="00A74FDA">
      <w:pPr>
        <w:pStyle w:val="Body"/>
        <w:numPr>
          <w:ilvl w:val="0"/>
          <w:numId w:val="4"/>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minutes of the first meeting of the General People's Committee for Justice and Public Security in 1423 FBP,</w:t>
      </w:r>
    </w:p>
    <w:p w14:paraId="625B6430"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671F7C6C" w14:textId="77777777" w:rsidR="00A74FDA" w:rsidRDefault="00A74FDA" w:rsidP="00A74FDA">
      <w:pPr>
        <w:pStyle w:val="Body"/>
        <w:spacing w:after="30" w:line="360" w:lineRule="auto"/>
        <w:jc w:val="center"/>
        <w:rPr>
          <w:rFonts w:ascii="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has decreed the following:</w:t>
      </w:r>
    </w:p>
    <w:p w14:paraId="280E428C" w14:textId="77777777" w:rsidR="00D667AA" w:rsidRPr="001C5DA5" w:rsidRDefault="00D667AA" w:rsidP="00D667AA">
      <w:pPr>
        <w:pStyle w:val="Body"/>
        <w:spacing w:after="30" w:line="360" w:lineRule="auto"/>
        <w:jc w:val="center"/>
        <w:rPr>
          <w:rFonts w:ascii="Times New Roman" w:eastAsia="Times New Roman" w:hAnsi="Times New Roman" w:cs="Times New Roman" w:hint="default"/>
          <w:b/>
          <w:bCs/>
          <w:sz w:val="28"/>
          <w:szCs w:val="28"/>
          <w:rtl/>
        </w:rPr>
      </w:pPr>
    </w:p>
    <w:p w14:paraId="3DF52628"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w:t>
      </w:r>
    </w:p>
    <w:p w14:paraId="00C5AE18"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With due consideration to Articles 24, 25, 26, 29, 30 and 31 of Law No. (10) of 1992 AD referenced above, the promotion of a member of the Police Department up to “lieutenant colonel” rank to successfully pass the promotion examination or training court, in accordance with the order provided for herein.</w:t>
      </w:r>
    </w:p>
    <w:p w14:paraId="3AB46EDD"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370DEB34" w14:textId="77777777" w:rsidR="00A74FDA" w:rsidRPr="001C5DA5" w:rsidRDefault="00A74FDA" w:rsidP="00A74FDA">
      <w:pPr>
        <w:pStyle w:val="Body"/>
        <w:spacing w:after="0" w:line="360" w:lineRule="auto"/>
        <w:jc w:val="both"/>
        <w:rPr>
          <w:rFonts w:ascii="Times New Roman" w:hAnsi="Times New Roman" w:cs="Times New Roman" w:hint="default"/>
          <w:b/>
          <w:bCs/>
          <w:sz w:val="28"/>
          <w:szCs w:val="28"/>
          <w:lang w:val="en-US"/>
        </w:rPr>
      </w:pPr>
      <w:r w:rsidRPr="001C5DA5">
        <w:rPr>
          <w:rFonts w:ascii="Times New Roman" w:eastAsia="Times New Roman" w:hAnsi="Times New Roman" w:cs="Times New Roman" w:hint="default"/>
          <w:b/>
          <w:sz w:val="28"/>
          <w:szCs w:val="28"/>
          <w:lang w:val="en-US" w:bidi="en-US"/>
        </w:rPr>
        <w:t>Article (2)</w:t>
      </w:r>
    </w:p>
    <w:p w14:paraId="2C0503CE"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Members of the Police ranked as “major” or less, who have spent the minimum number of years prescribed for promotion shall sit for promotion examinations.</w:t>
      </w:r>
    </w:p>
    <w:p w14:paraId="576FCE7A"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7750F396"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(3)</w:t>
      </w:r>
    </w:p>
    <w:p w14:paraId="779DB674"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An officer with a “weak” score in the last confidential annual report or an “average” score in the last two confidential annual reports shall be deprived from the examination or training course.</w:t>
      </w:r>
    </w:p>
    <w:p w14:paraId="786D6ECE"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p>
    <w:p w14:paraId="1940DFFB"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(4)</w:t>
      </w:r>
    </w:p>
    <w:p w14:paraId="68DD5F7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lastRenderedPageBreak/>
        <w:t>Without prejudice to the previous Article, subject to spending the minimum period prescribed for promotion, actual practice of the profession is a requirement in order for a member of the Police nominated to sit for the technical or professional examination.</w:t>
      </w:r>
    </w:p>
    <w:p w14:paraId="0FA577A3"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461BAFC1" w14:textId="77777777" w:rsidR="00D667AA" w:rsidRDefault="00D667AA" w:rsidP="00A74FDA">
      <w:pPr>
        <w:pStyle w:val="Body"/>
        <w:spacing w:after="0" w:line="360" w:lineRule="auto"/>
        <w:jc w:val="both"/>
        <w:rPr>
          <w:rFonts w:ascii="Times New Roman" w:hAnsi="Times New Roman" w:cs="Times New Roman" w:hint="default"/>
          <w:b/>
          <w:bCs/>
          <w:sz w:val="28"/>
          <w:szCs w:val="28"/>
          <w:rtl/>
        </w:rPr>
      </w:pPr>
    </w:p>
    <w:p w14:paraId="59EB5C4A" w14:textId="77777777" w:rsidR="00A74FDA" w:rsidRPr="001C5DA5" w:rsidRDefault="00A74FDA" w:rsidP="00D667A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(5)</w:t>
      </w:r>
    </w:p>
    <w:p w14:paraId="354065F0"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A scheduled examination of a Police member may be postponed only for a compelling excuse to the satisfaction of the Undersecretary for Security Affairs. Such an excuse shall be duly justified and supported with the opinion of the entity to which the member reports.</w:t>
      </w:r>
    </w:p>
    <w:p w14:paraId="029386FA"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70ADCFAD" w14:textId="77777777" w:rsidR="00A74FDA" w:rsidRPr="001C5DA5" w:rsidRDefault="00A74FDA" w:rsidP="00A74FDA">
      <w:pPr>
        <w:pStyle w:val="Body"/>
        <w:spacing w:after="0" w:line="360" w:lineRule="auto"/>
        <w:jc w:val="both"/>
        <w:rPr>
          <w:rFonts w:ascii="Times New Roman" w:hAnsi="Times New Roman" w:cs="Times New Roman" w:hint="default"/>
          <w:b/>
          <w:bCs/>
          <w:sz w:val="28"/>
          <w:szCs w:val="28"/>
          <w:lang w:val="en-US"/>
        </w:rPr>
      </w:pPr>
      <w:r w:rsidRPr="001C5DA5">
        <w:rPr>
          <w:rFonts w:ascii="Times New Roman" w:eastAsia="Times New Roman" w:hAnsi="Times New Roman" w:cs="Times New Roman" w:hint="default"/>
          <w:b/>
          <w:sz w:val="28"/>
          <w:szCs w:val="28"/>
          <w:lang w:val="en-US" w:bidi="en-US"/>
        </w:rPr>
        <w:t>Article (6)</w:t>
      </w:r>
    </w:p>
    <w:p w14:paraId="57051C28"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By a decision of the Undersecretary for Security Affairs, the following committees shall be formed well in advance of the scheduled date of examinations, based on a proposal by the General Directorate for Training:</w:t>
      </w:r>
    </w:p>
    <w:p w14:paraId="7A16021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a) General Committee for Examination; </w:t>
      </w:r>
    </w:p>
    <w:p w14:paraId="395C4610"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b) Committees for Supervising and Monitoring the Examination Process; </w:t>
      </w:r>
    </w:p>
    <w:p w14:paraId="23F8B5B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c) Technical, Professional and Oral Examination Committees; and </w:t>
      </w:r>
    </w:p>
    <w:p w14:paraId="17612360"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d) Examination Marking and Grading Committees.</w:t>
      </w:r>
    </w:p>
    <w:p w14:paraId="0496DC3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A89EDC3"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(7)</w:t>
      </w:r>
    </w:p>
    <w:p w14:paraId="087320E5"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Examinations, covering the subjects prescribed in the curricula, shall be conducted during the first week of July at the locations specified by a decree of the Undersecretary for Security Affairs, according to the schedules prepared by the General Committee for Examinations.</w:t>
      </w:r>
    </w:p>
    <w:p w14:paraId="43C1968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74B7BE3C"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(8)</w:t>
      </w:r>
    </w:p>
    <w:p w14:paraId="4809E8CD"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lastRenderedPageBreak/>
        <w:t>Examinations shall be divided into two types, based on the nature of work in the Police:</w:t>
      </w:r>
    </w:p>
    <w:p w14:paraId="3F34D49E" w14:textId="77777777" w:rsidR="00A74FDA" w:rsidRPr="001C5DA5" w:rsidRDefault="00A74FDA" w:rsidP="00A74FDA">
      <w:pPr>
        <w:pStyle w:val="Body"/>
        <w:numPr>
          <w:ilvl w:val="0"/>
          <w:numId w:val="5"/>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The general examination, which shall be taken by all members of the Police who applied therefor, save the members specialized in technical and professional disciplines. </w:t>
      </w:r>
    </w:p>
    <w:p w14:paraId="68CD8A90" w14:textId="77777777" w:rsidR="00A74FDA" w:rsidRPr="001C5DA5" w:rsidRDefault="00A74FDA" w:rsidP="00A74FDA">
      <w:pPr>
        <w:pStyle w:val="Body"/>
        <w:numPr>
          <w:ilvl w:val="0"/>
          <w:numId w:val="5"/>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specialized (technical/professional/oral) examination. The topics and subjects of the general and specialized examinations, in addition to the total score of exams and the score for each subject, shall be determined by a decree of the Undersecretary for Security Affairs. The development and determination of examination curricula shall aim at measuring the capacity and competency of applicants to fill the ranks to which they are nominated, in accordance with the duties and responsibilities of the ranks and the requirements and special qualifications thereof.</w:t>
      </w:r>
    </w:p>
    <w:p w14:paraId="304995F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F32501D" w14:textId="77777777" w:rsidR="00D667AA" w:rsidRDefault="00D667AA" w:rsidP="00A74FDA">
      <w:pPr>
        <w:pStyle w:val="Body"/>
        <w:spacing w:after="0" w:line="360" w:lineRule="auto"/>
        <w:jc w:val="both"/>
        <w:rPr>
          <w:rFonts w:ascii="Times New Roman" w:hAnsi="Times New Roman" w:cs="Times New Roman" w:hint="default"/>
          <w:b/>
          <w:bCs/>
          <w:sz w:val="28"/>
          <w:szCs w:val="28"/>
          <w:rtl/>
        </w:rPr>
      </w:pPr>
    </w:p>
    <w:p w14:paraId="38382993" w14:textId="77777777" w:rsidR="00D667AA" w:rsidRDefault="00D667AA" w:rsidP="00D667AA">
      <w:pPr>
        <w:pStyle w:val="Body"/>
        <w:spacing w:after="0" w:line="360" w:lineRule="auto"/>
        <w:jc w:val="both"/>
        <w:rPr>
          <w:rFonts w:ascii="Times New Roman" w:hAnsi="Times New Roman" w:cs="Times New Roman" w:hint="default"/>
          <w:b/>
          <w:bCs/>
          <w:sz w:val="28"/>
          <w:szCs w:val="28"/>
          <w:rtl/>
        </w:rPr>
      </w:pPr>
    </w:p>
    <w:p w14:paraId="120C2FC1" w14:textId="77777777" w:rsidR="00A74FDA" w:rsidRPr="001C5DA5" w:rsidRDefault="00A74FDA" w:rsidP="00D667A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(9)</w:t>
      </w:r>
    </w:p>
    <w:p w14:paraId="7890C9F7"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General Committee for Examination shall be responsible for taking all the actions required for coordination among the various committees set out in the previous Article. In particular, the said Committee shall:</w:t>
      </w:r>
    </w:p>
    <w:p w14:paraId="65A0F42D" w14:textId="77777777" w:rsidR="00A74FDA" w:rsidRPr="001C5DA5" w:rsidRDefault="00A74FDA" w:rsidP="00A74FDA">
      <w:pPr>
        <w:pStyle w:val="Body"/>
        <w:numPr>
          <w:ilvl w:val="0"/>
          <w:numId w:val="6"/>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Prepare the questions and time schedules of written examination; </w:t>
      </w:r>
    </w:p>
    <w:p w14:paraId="6AC44E78" w14:textId="77777777" w:rsidR="00A74FDA" w:rsidRPr="001C5DA5" w:rsidRDefault="00A74FDA" w:rsidP="00A74FDA">
      <w:pPr>
        <w:pStyle w:val="Body"/>
        <w:numPr>
          <w:ilvl w:val="0"/>
          <w:numId w:val="6"/>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Print out examination forms and maintain their confidentiality; and </w:t>
      </w:r>
    </w:p>
    <w:p w14:paraId="08032F8F" w14:textId="77777777" w:rsidR="00A74FDA" w:rsidRPr="001C5DA5" w:rsidRDefault="00A74FDA" w:rsidP="00A74FDA">
      <w:pPr>
        <w:pStyle w:val="Body"/>
        <w:numPr>
          <w:ilvl w:val="0"/>
          <w:numId w:val="6"/>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Prepare lists of applicants who successfully pass the exam and refer the same to the competent authority for approval.</w:t>
      </w:r>
    </w:p>
    <w:p w14:paraId="7D442BE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3B545A03"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(10)</w:t>
      </w:r>
    </w:p>
    <w:p w14:paraId="2E0E07EC"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Committees for Supervising and Monitoring the Examination Process shall:</w:t>
      </w:r>
    </w:p>
    <w:p w14:paraId="6B52B29D" w14:textId="77777777" w:rsidR="00A74FDA" w:rsidRPr="001C5DA5" w:rsidRDefault="00A74FDA" w:rsidP="00A74FDA">
      <w:pPr>
        <w:pStyle w:val="Body"/>
        <w:numPr>
          <w:ilvl w:val="0"/>
          <w:numId w:val="7"/>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lastRenderedPageBreak/>
        <w:t xml:space="preserve">Receive and open examination form envelopes from the General Committee for Examination, and distribute the forms to examinees upon the commencement of exams; </w:t>
      </w:r>
    </w:p>
    <w:p w14:paraId="5E9B0E9E" w14:textId="77777777" w:rsidR="00A74FDA" w:rsidRPr="001C5DA5" w:rsidRDefault="00A74FDA" w:rsidP="00A74FDA">
      <w:pPr>
        <w:pStyle w:val="Body"/>
        <w:numPr>
          <w:ilvl w:val="0"/>
          <w:numId w:val="7"/>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Directly supervise and monitor the examination process; and </w:t>
      </w:r>
    </w:p>
    <w:p w14:paraId="7D8CBEA7" w14:textId="77777777" w:rsidR="00A74FDA" w:rsidRPr="001C5DA5" w:rsidRDefault="00A74FDA" w:rsidP="00A74FDA">
      <w:pPr>
        <w:pStyle w:val="Body"/>
        <w:numPr>
          <w:ilvl w:val="0"/>
          <w:numId w:val="7"/>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Deliver answer booklet envelopes to the heads of Examination Marking and Grading Committees.</w:t>
      </w:r>
    </w:p>
    <w:p w14:paraId="1B7B0528"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59818601"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(11)</w:t>
      </w:r>
    </w:p>
    <w:p w14:paraId="58FEB039"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Examination Marking and Grading Committees shall:</w:t>
      </w:r>
    </w:p>
    <w:p w14:paraId="3DBB6F12" w14:textId="77777777" w:rsidR="00A74FDA" w:rsidRPr="001C5DA5" w:rsidRDefault="00A74FDA" w:rsidP="00A74FDA">
      <w:pPr>
        <w:pStyle w:val="Body"/>
        <w:numPr>
          <w:ilvl w:val="0"/>
          <w:numId w:val="8"/>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Receive answer papers from the Committees for Supervising and Monitoring the Examination Process upon the completion of examinations; and </w:t>
      </w:r>
    </w:p>
    <w:p w14:paraId="5AA0E2C0" w14:textId="77777777" w:rsidR="00A74FDA" w:rsidRPr="001C5DA5" w:rsidRDefault="00A74FDA" w:rsidP="00A74FDA">
      <w:pPr>
        <w:pStyle w:val="Body"/>
        <w:numPr>
          <w:ilvl w:val="0"/>
          <w:numId w:val="8"/>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Mark and grade answer papers then refer them, upon completion, to the Chairman of the General Committee for Examination.</w:t>
      </w:r>
    </w:p>
    <w:p w14:paraId="6927B817"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33CE2A1D"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(12)</w:t>
      </w:r>
    </w:p>
    <w:p w14:paraId="0732799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Technical, Professional and Oral Examination Committees shall:</w:t>
      </w:r>
    </w:p>
    <w:p w14:paraId="36708F7F" w14:textId="77777777" w:rsidR="00A74FDA" w:rsidRPr="001C5DA5" w:rsidRDefault="00A74FDA" w:rsidP="00A74FDA">
      <w:pPr>
        <w:pStyle w:val="Body"/>
        <w:numPr>
          <w:ilvl w:val="0"/>
          <w:numId w:val="9"/>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Conduct examinations on technical, professional and oral subjects; and </w:t>
      </w:r>
    </w:p>
    <w:p w14:paraId="173DC099" w14:textId="77777777" w:rsidR="00A74FDA" w:rsidRPr="001C5DA5" w:rsidRDefault="00A74FDA" w:rsidP="00A74FDA">
      <w:pPr>
        <w:pStyle w:val="Body"/>
        <w:numPr>
          <w:ilvl w:val="0"/>
          <w:numId w:val="9"/>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Register the grades of examinees in the above subjects, and refer the grades to the Chairman of the General Committee for Examination.</w:t>
      </w:r>
    </w:p>
    <w:p w14:paraId="37126FAB"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5952D4E7"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(13)</w:t>
      </w:r>
    </w:p>
    <w:p w14:paraId="59BE7D54"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Upon constructing and approving exam questions, the General Committee for Examination shall make sure that different questions are provided for various ranks, based on the leadership level associated therewith. The competent committees shall maintain the strict confidentiality of the questions, and observe the secret numbering rules and measures of answer booklets.</w:t>
      </w:r>
    </w:p>
    <w:p w14:paraId="7BDAF06E"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1946A1E7"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(14)</w:t>
      </w:r>
    </w:p>
    <w:p w14:paraId="45BDCACC"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lastRenderedPageBreak/>
        <w:t>Police Members nominated to sit for the examinations conducted in accordance with this Decree shall not:</w:t>
      </w:r>
    </w:p>
    <w:p w14:paraId="1D19D093" w14:textId="77777777" w:rsidR="00A74FDA" w:rsidRPr="001C5DA5" w:rsidRDefault="00A74FDA" w:rsidP="00A74FDA">
      <w:pPr>
        <w:pStyle w:val="Body"/>
        <w:numPr>
          <w:ilvl w:val="0"/>
          <w:numId w:val="10"/>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Violate the instructions issued by the examination or supervision committees, or the supervisors, controllers or observers in such committees; </w:t>
      </w:r>
    </w:p>
    <w:p w14:paraId="0263506D" w14:textId="77777777" w:rsidR="00A74FDA" w:rsidRPr="001C5DA5" w:rsidRDefault="00A74FDA" w:rsidP="00A74FDA">
      <w:pPr>
        <w:pStyle w:val="Body"/>
        <w:numPr>
          <w:ilvl w:val="0"/>
          <w:numId w:val="10"/>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Make attempts to obtain information in relation to the examination questions or grading; </w:t>
      </w:r>
    </w:p>
    <w:p w14:paraId="371121D7" w14:textId="77777777" w:rsidR="00A74FDA" w:rsidRPr="001C5DA5" w:rsidRDefault="00A74FDA" w:rsidP="00A74FDA">
      <w:pPr>
        <w:pStyle w:val="Body"/>
        <w:numPr>
          <w:ilvl w:val="0"/>
          <w:numId w:val="10"/>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Take any action to influence, in any way whatsoever, a member of the examination committees; and </w:t>
      </w:r>
    </w:p>
    <w:p w14:paraId="274C1072" w14:textId="77777777" w:rsidR="00A74FDA" w:rsidRPr="001C5DA5" w:rsidRDefault="00A74FDA" w:rsidP="00A74FDA">
      <w:pPr>
        <w:pStyle w:val="Body"/>
        <w:numPr>
          <w:ilvl w:val="0"/>
          <w:numId w:val="10"/>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Cheat or attempt to cheat, including helping, or attempting to help, any other examinee.</w:t>
      </w:r>
    </w:p>
    <w:p w14:paraId="2C1FC00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5915B0FE"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(15)</w:t>
      </w:r>
    </w:p>
    <w:p w14:paraId="3033D6D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In the event that an examinee commits any of the actions prohibited under the previous Article, one of the measures set forth below shall be taken against him:</w:t>
      </w:r>
    </w:p>
    <w:p w14:paraId="4FC4E1E6" w14:textId="77777777" w:rsidR="00A74FDA" w:rsidRPr="001C5DA5" w:rsidRDefault="00A74FDA" w:rsidP="00A74FDA">
      <w:pPr>
        <w:pStyle w:val="Body"/>
        <w:numPr>
          <w:ilvl w:val="0"/>
          <w:numId w:val="11"/>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Warning, if the action did not reach the stage of cheating while taking the examination; or </w:t>
      </w:r>
    </w:p>
    <w:p w14:paraId="4F1B0374" w14:textId="77777777" w:rsidR="00A74FDA" w:rsidRPr="001C5DA5" w:rsidRDefault="00A74FDA" w:rsidP="00A74FDA">
      <w:pPr>
        <w:pStyle w:val="Body"/>
        <w:numPr>
          <w:ilvl w:val="0"/>
          <w:numId w:val="11"/>
        </w:numPr>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Deprivation from or cancellation of examination, if the action committed reaches the stage of cheating or attempting to obtain any information related to exam questions. In such a case, the name of the examinee shall be removed from the list of nominees for promotion.</w:t>
      </w:r>
    </w:p>
    <w:p w14:paraId="5A605D3E"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3DE60723"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(16)</w:t>
      </w:r>
    </w:p>
    <w:p w14:paraId="3CACADF8"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Every member of the Police who takes the examination scheduled for promotion and could not achieve the percentage set for passing the exam shall be considered to have failed. In such a case. there shall be no second examination attempt; however, they may join the nearest upcoming examination held for promotion purposes.</w:t>
      </w:r>
    </w:p>
    <w:p w14:paraId="479ADE48"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1B4E4C2C"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(17)</w:t>
      </w:r>
    </w:p>
    <w:p w14:paraId="25CCE98F"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lastRenderedPageBreak/>
        <w:t xml:space="preserve">Successful examinees shall be ranked according to the nature of the exam and the scores they achieve. If two or more achieve the same total score, the examinee with a higher qualification shall be given priority. In case of equal qualification, the most senior in the rank shall be given priority. If examinees are equal in seniority, priority shall be given to the oldest. </w:t>
      </w:r>
    </w:p>
    <w:p w14:paraId="4128E7EB"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Passing grades shall be estimated as follows:</w:t>
      </w:r>
    </w:p>
    <w:p w14:paraId="5955FB76"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Excellent </w:t>
      </w:r>
      <w:r w:rsidRPr="001C5DA5">
        <w:rPr>
          <w:rFonts w:ascii="Times New Roman" w:eastAsia="Times New Roman" w:hAnsi="Times New Roman" w:cs="Times New Roman" w:hint="default"/>
          <w:sz w:val="28"/>
          <w:szCs w:val="28"/>
          <w:lang w:val="en-US" w:bidi="en-US"/>
        </w:rPr>
        <w:tab/>
        <w:t xml:space="preserve">85 to 100% </w:t>
      </w:r>
    </w:p>
    <w:p w14:paraId="529CB695"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Very Good </w:t>
      </w:r>
      <w:r w:rsidRPr="001C5DA5">
        <w:rPr>
          <w:rFonts w:ascii="Times New Roman" w:eastAsia="Times New Roman" w:hAnsi="Times New Roman" w:cs="Times New Roman" w:hint="default"/>
          <w:sz w:val="28"/>
          <w:szCs w:val="28"/>
          <w:lang w:val="en-US" w:bidi="en-US"/>
        </w:rPr>
        <w:tab/>
        <w:t>75 to 84%</w:t>
      </w:r>
    </w:p>
    <w:p w14:paraId="61154E5D"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 xml:space="preserve">Good </w:t>
      </w:r>
      <w:r w:rsidRPr="001C5DA5">
        <w:rPr>
          <w:rFonts w:ascii="Times New Roman" w:eastAsia="Times New Roman" w:hAnsi="Times New Roman" w:cs="Times New Roman" w:hint="default"/>
          <w:sz w:val="28"/>
          <w:szCs w:val="28"/>
          <w:lang w:val="en-US" w:bidi="en-US"/>
        </w:rPr>
        <w:tab/>
        <w:t>65 to 74%</w:t>
      </w:r>
    </w:p>
    <w:p w14:paraId="096C36A1"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Pr>
      </w:pPr>
      <w:r w:rsidRPr="001C5DA5">
        <w:rPr>
          <w:rFonts w:ascii="Times New Roman" w:eastAsia="Times New Roman" w:hAnsi="Times New Roman" w:cs="Times New Roman" w:hint="default"/>
          <w:sz w:val="28"/>
          <w:szCs w:val="28"/>
          <w:lang w:val="en-US" w:bidi="en-US"/>
        </w:rPr>
        <w:t xml:space="preserve">Fair </w:t>
      </w:r>
      <w:r w:rsidRPr="001C5DA5">
        <w:rPr>
          <w:rFonts w:ascii="Times New Roman" w:eastAsia="Times New Roman" w:hAnsi="Times New Roman" w:cs="Times New Roman" w:hint="default"/>
          <w:sz w:val="28"/>
          <w:szCs w:val="28"/>
          <w:lang w:val="en-US" w:bidi="en-US"/>
        </w:rPr>
        <w:tab/>
        <w:t>50 to 64%</w:t>
      </w:r>
    </w:p>
    <w:p w14:paraId="17788719"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05E37DF0" w14:textId="77777777" w:rsidR="00A74FDA" w:rsidRPr="001C5DA5" w:rsidRDefault="00A74FDA" w:rsidP="00D667A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(18)</w:t>
      </w:r>
    </w:p>
    <w:p w14:paraId="036307FA"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Examination results shall be approved by the Secretary of the General People’s Committee for Justice and Public Security.</w:t>
      </w:r>
    </w:p>
    <w:p w14:paraId="0935C69C"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6F10F868"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(19)</w:t>
      </w:r>
    </w:p>
    <w:p w14:paraId="79168E49"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The General Directorate for Administrative and Financial Affairs shall maintain the answer papers of written examinations, records, lists and all other documents related to the examinations held for members of the Police for a year starting from the date of examination results approval. After the lapse of the said term, the aforementioned Directorate may dispose of and destroy the above papers, records and documents by a committee to be formed by a decision of the Undersecretary for Security Affairs.</w:t>
      </w:r>
    </w:p>
    <w:p w14:paraId="715D84EC"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BC13C0F"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(20)</w:t>
      </w:r>
    </w:p>
    <w:p w14:paraId="2F29DBB3"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For promotion purposes, training courses may be delivered to Police members in police training institutions or the entities established for such purpose, in accordance with the approved training plan, which shall include the training curricula, periods and dates.</w:t>
      </w:r>
    </w:p>
    <w:p w14:paraId="73DE2A1B"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D0243F9"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Article (21)</w:t>
      </w:r>
    </w:p>
    <w:p w14:paraId="4AF66C2A"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r w:rsidRPr="001C5DA5">
        <w:rPr>
          <w:rFonts w:ascii="Times New Roman" w:eastAsia="Times New Roman" w:hAnsi="Times New Roman" w:cs="Times New Roman" w:hint="default"/>
          <w:sz w:val="28"/>
          <w:szCs w:val="28"/>
          <w:lang w:val="en-US" w:bidi="en-US"/>
        </w:rPr>
        <w:t>This Decree shall enter into force as of the date of its issuance and shall be implemented by the competent entities and published in the official gazette.</w:t>
      </w:r>
    </w:p>
    <w:p w14:paraId="6AA076C0" w14:textId="77777777" w:rsidR="00A74FDA" w:rsidRPr="001C5DA5" w:rsidRDefault="00A74FDA" w:rsidP="00A74FDA">
      <w:pPr>
        <w:pStyle w:val="Body"/>
        <w:spacing w:after="0" w:line="360" w:lineRule="auto"/>
        <w:jc w:val="both"/>
        <w:rPr>
          <w:rFonts w:ascii="Times New Roman" w:eastAsia="Times New Roman" w:hAnsi="Times New Roman" w:cs="Times New Roman" w:hint="default"/>
          <w:sz w:val="28"/>
          <w:szCs w:val="28"/>
          <w:rtl/>
        </w:rPr>
      </w:pPr>
    </w:p>
    <w:p w14:paraId="28F88861"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Pr>
      </w:pPr>
      <w:r w:rsidRPr="001C5DA5">
        <w:rPr>
          <w:rFonts w:ascii="Times New Roman" w:eastAsia="Times New Roman" w:hAnsi="Times New Roman" w:cs="Times New Roman" w:hint="default"/>
          <w:b/>
          <w:sz w:val="28"/>
          <w:szCs w:val="28"/>
          <w:lang w:val="en-US" w:bidi="en-US"/>
        </w:rPr>
        <w:t>The General People's Committee for Justice and Public Security</w:t>
      </w:r>
    </w:p>
    <w:p w14:paraId="6194C8E7"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Pr>
      </w:pPr>
    </w:p>
    <w:p w14:paraId="23EC33B1" w14:textId="77777777" w:rsidR="00A74FDA" w:rsidRPr="001C5DA5" w:rsidRDefault="00A74FDA" w:rsidP="00A74FDA">
      <w:pPr>
        <w:pStyle w:val="Body"/>
        <w:spacing w:after="0" w:line="360" w:lineRule="auto"/>
        <w:jc w:val="both"/>
        <w:rPr>
          <w:rFonts w:ascii="Times New Roman" w:eastAsia="Times New Roman" w:hAnsi="Times New Roman" w:cs="Times New Roman" w:hint="default"/>
          <w:b/>
          <w:bCs/>
          <w:sz w:val="28"/>
          <w:szCs w:val="28"/>
          <w:rtl/>
        </w:rPr>
      </w:pPr>
      <w:r w:rsidRPr="001C5DA5">
        <w:rPr>
          <w:rFonts w:ascii="Times New Roman" w:eastAsia="Times New Roman" w:hAnsi="Times New Roman" w:cs="Times New Roman" w:hint="default"/>
          <w:b/>
          <w:sz w:val="28"/>
          <w:szCs w:val="28"/>
          <w:lang w:val="en-US" w:bidi="en-US"/>
        </w:rPr>
        <w:t>Issued on: 15 Dhul Hijjah 1403 FDP</w:t>
      </w:r>
    </w:p>
    <w:p w14:paraId="6E93BD1C" w14:textId="23E4DD23" w:rsidR="009268F6" w:rsidRPr="00D667AA" w:rsidRDefault="00A74FDA" w:rsidP="00D667AA">
      <w:pPr>
        <w:pStyle w:val="Body"/>
        <w:spacing w:after="0" w:line="360" w:lineRule="auto"/>
        <w:jc w:val="both"/>
        <w:rPr>
          <w:rFonts w:ascii="Times New Roman" w:hAnsi="Times New Roman" w:cs="Times New Roman" w:hint="default"/>
          <w:sz w:val="28"/>
          <w:szCs w:val="28"/>
        </w:rPr>
      </w:pPr>
      <w:r w:rsidRPr="001C5DA5">
        <w:rPr>
          <w:rFonts w:ascii="Times New Roman" w:eastAsia="Times New Roman" w:hAnsi="Times New Roman" w:cs="Times New Roman" w:hint="default"/>
          <w:b/>
          <w:sz w:val="28"/>
          <w:szCs w:val="28"/>
          <w:lang w:val="en-US" w:bidi="en-US"/>
        </w:rPr>
        <w:t>Corresponding to: 26/05/1423 FBP</w:t>
      </w:r>
    </w:p>
    <w:sectPr w:rsidR="009268F6" w:rsidRPr="00D667AA" w:rsidSect="000B547B">
      <w:footerReference w:type="default" r:id="rId7"/>
      <w:pgSz w:w="11906" w:h="16838"/>
      <w:pgMar w:top="993" w:right="1417" w:bottom="1843" w:left="1417" w:header="142"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E588" w14:textId="77777777" w:rsidR="006E45C7" w:rsidRDefault="006E45C7" w:rsidP="00A91B88">
      <w:pPr>
        <w:spacing w:after="0" w:line="240" w:lineRule="auto"/>
      </w:pPr>
      <w:r>
        <w:separator/>
      </w:r>
    </w:p>
  </w:endnote>
  <w:endnote w:type="continuationSeparator" w:id="0">
    <w:p w14:paraId="53EB5648" w14:textId="77777777" w:rsidR="006E45C7" w:rsidRDefault="006E45C7" w:rsidP="00A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244834"/>
      <w:docPartObj>
        <w:docPartGallery w:val="Page Numbers (Bottom of Page)"/>
        <w:docPartUnique/>
      </w:docPartObj>
    </w:sdtPr>
    <w:sdtEndPr/>
    <w:sdtContent>
      <w:sdt>
        <w:sdtPr>
          <w:id w:val="565050523"/>
          <w:docPartObj>
            <w:docPartGallery w:val="Page Numbers (Top of Page)"/>
            <w:docPartUnique/>
          </w:docPartObj>
        </w:sdtPr>
        <w:sdtEndPr/>
        <w:sdtContent>
          <w:p w14:paraId="1F453060" w14:textId="77777777" w:rsidR="00D22D8B" w:rsidRDefault="005328C0" w:rsidP="005328C0">
            <w:pPr>
              <w:pStyle w:val="Footer"/>
              <w:tabs>
                <w:tab w:val="clear" w:pos="4536"/>
                <w:tab w:val="center" w:pos="4253"/>
              </w:tabs>
              <w:ind w:hanging="284"/>
              <w:jc w:val="center"/>
            </w:pPr>
            <w:r>
              <w:rPr>
                <w:noProof/>
                <w:lang w:bidi="en-US"/>
              </w:rPr>
              <w:drawing>
                <wp:anchor distT="0" distB="0" distL="114300" distR="114300" simplePos="0" relativeHeight="251656704" behindDoc="0" locked="1" layoutInCell="1" allowOverlap="1" wp14:anchorId="3785D998" wp14:editId="24F95EC2">
                  <wp:simplePos x="0" y="0"/>
                  <wp:positionH relativeFrom="column">
                    <wp:posOffset>5190490</wp:posOffset>
                  </wp:positionH>
                  <wp:positionV relativeFrom="paragraph">
                    <wp:posOffset>14605</wp:posOffset>
                  </wp:positionV>
                  <wp:extent cx="1209675" cy="844550"/>
                  <wp:effectExtent l="19050" t="0" r="9525" b="0"/>
                  <wp:wrapNone/>
                  <wp:docPr id="3" name="Picture 1" descr="P:\Logo\DCAF logo_Arabic_black_highre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DCAF logo_Arabic_black_highres.png"/>
                          <pic:cNvPicPr>
                            <a:picLocks noChangeAspect="1" noChangeArrowheads="1"/>
                          </pic:cNvPicPr>
                        </pic:nvPicPr>
                        <pic:blipFill>
                          <a:blip r:embed="rId2"/>
                          <a:stretch>
                            <a:fillRect/>
                          </a:stretch>
                        </pic:blipFill>
                        <pic:spPr bwMode="auto">
                          <a:xfrm>
                            <a:off x="0" y="0"/>
                            <a:ext cx="1209675" cy="844550"/>
                          </a:xfrm>
                          <a:prstGeom prst="rect">
                            <a:avLst/>
                          </a:prstGeom>
                          <a:noFill/>
                          <a:ln w="9525">
                            <a:noFill/>
                            <a:miter lim="800000"/>
                            <a:headEnd/>
                            <a:tailEnd/>
                          </a:ln>
                        </pic:spPr>
                      </pic:pic>
                    </a:graphicData>
                  </a:graphic>
                </wp:anchor>
              </w:drawing>
            </w:r>
            <w:r w:rsidR="004E4403">
              <w:rPr>
                <w:noProof/>
                <w:lang w:bidi="en-US"/>
              </w:rPr>
              <w:drawing>
                <wp:anchor distT="0" distB="0" distL="114300" distR="114300" simplePos="0" relativeHeight="251657728" behindDoc="0" locked="1" layoutInCell="1" allowOverlap="1" wp14:anchorId="0DB4F758" wp14:editId="7281ADA7">
                  <wp:simplePos x="0" y="0"/>
                  <wp:positionH relativeFrom="column">
                    <wp:posOffset>-585241</wp:posOffset>
                  </wp:positionH>
                  <wp:positionV relativeFrom="paragraph">
                    <wp:posOffset>139471</wp:posOffset>
                  </wp:positionV>
                  <wp:extent cx="1053388" cy="519855"/>
                  <wp:effectExtent l="0" t="0" r="0" b="0"/>
                  <wp:wrapNone/>
                  <wp:docPr id="4" name="Picture 2" descr="C:\Users\hanssm\Desktop\DCAF-Trust-Fund-for-North-Africa_Final_72.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sm\Desktop\DCAF-Trust-Fund-for-North-Africa_Final_72.gif"/>
                          <pic:cNvPicPr>
                            <a:picLocks noChangeAspect="1" noChangeArrowheads="1"/>
                          </pic:cNvPicPr>
                        </pic:nvPicPr>
                        <pic:blipFill>
                          <a:blip r:embed="rId4"/>
                          <a:srcRect/>
                          <a:stretch>
                            <a:fillRect/>
                          </a:stretch>
                        </pic:blipFill>
                        <pic:spPr bwMode="auto">
                          <a:xfrm>
                            <a:off x="0" y="0"/>
                            <a:ext cx="1053389" cy="519855"/>
                          </a:xfrm>
                          <a:prstGeom prst="rect">
                            <a:avLst/>
                          </a:prstGeom>
                          <a:noFill/>
                          <a:ln w="9525">
                            <a:noFill/>
                            <a:miter lim="800000"/>
                            <a:headEnd/>
                            <a:tailEnd/>
                          </a:ln>
                        </pic:spPr>
                      </pic:pic>
                    </a:graphicData>
                  </a:graphic>
                </wp:anchor>
              </w:drawing>
            </w:r>
            <w:r w:rsidR="006741BD">
              <w:rPr>
                <w:noProof/>
                <w:lang w:bidi="en-US"/>
              </w:rPr>
              <mc:AlternateContent>
                <mc:Choice Requires="wps">
                  <w:drawing>
                    <wp:anchor distT="0" distB="0" distL="114300" distR="114300" simplePos="0" relativeHeight="251658752" behindDoc="1" locked="0" layoutInCell="1" allowOverlap="1" wp14:anchorId="73EFD2D4" wp14:editId="52781643">
                      <wp:simplePos x="0" y="0"/>
                      <wp:positionH relativeFrom="column">
                        <wp:posOffset>-957580</wp:posOffset>
                      </wp:positionH>
                      <wp:positionV relativeFrom="paragraph">
                        <wp:posOffset>51435</wp:posOffset>
                      </wp:positionV>
                      <wp:extent cx="7740650" cy="1083310"/>
                      <wp:effectExtent l="0" t="635" r="1143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0" cy="10833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gradFill rotWithShape="1">
                                      <a:gsLst>
                                        <a:gs pos="0">
                                          <a:srgbClr val="F3F3F3"/>
                                        </a:gs>
                                        <a:gs pos="100000">
                                          <a:srgbClr val="F3F3F3">
                                            <a:gamma/>
                                            <a:shade val="46275"/>
                                            <a:invGamma/>
                                          </a:srgbClr>
                                        </a:gs>
                                      </a:gsLst>
                                      <a:lin ang="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F1A35" id="Rectangle 3" o:spid="_x0000_s1026" style="position:absolute;margin-left:-75.4pt;margin-top:4.05pt;width:609.5pt;height:8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OSMwIAAEsEAAAOAAAAZHJzL2Uyb0RvYy54bWysVNFu2yAUfZ+0f0C8L7bTpE2tOlXVrtOk&#10;bqvW7QMIxjEacNmFxMm+vhecdOn2Ns0PCLiXw7nnXHx1vbOGbRUGDa7h1aTkTDkJrXbrhn//dv9u&#10;wVmIwrXCgFMN36vAr5dv31wNvlZT6MG0ChmBuFAPvuF9jL4uiiB7ZUWYgFeOgh2gFZGWuC5aFAOh&#10;W1NMy/K8GABbjyBVCLR7Nwb5MuN3nZLxS9cFFZlpOHGLecQ8rtJYLK9EvUbhey0PNMQ/sLBCO7r0&#10;BepORME2qP+CsloiBOjiRIItoOu0VLkGqqYq/6jmqRde5VpInOBfZAr/D1Z+3j4i0y15x5kTliz6&#10;SqIJtzaKnSV5Bh9qynryj5gKDP4B5I/AHNz2lKVuEGHolWiJVJXyi1cH0iLQUbYaPkFL6GITISu1&#10;69AmQNKA7bIh+xdD1C4ySZsXF7PyfE6+SYpV5eLsrMqWFaI+HvcY4gcFlqVJw5HIZ3ixfQgx0RH1&#10;MSXd5uBeG5NdN44NDb+cT+f5QACj2xTMVab+U7cG2VZQ58RdlXPMxlIV415Vpm9sINqnNhv3jwRz&#10;CyeIzOEVutWRmt5o2/DFCUpS8b1rM7kotBnnVIBxB1mTkqMjK2j3pCrC2NH0AmnSA/7ibKBubnj4&#10;uRGoODMfHTlzWc1mqf3zYja/mNICTyOr04hwkqCobM7G6W0cn8zGo173dNMoh4MbcrPTWefk9Mjq&#10;QJY6Npd+eF3pSZyuc9bvf8DyGQAA//8DAFBLAwQUAAYACAAAACEAGdddC+EAAAALAQAADwAAAGRy&#10;cy9kb3ducmV2LnhtbEyPwU7DMBBE70j8g7VI3Fo7RW2jNE5VEBUcqAqlH+A6Sxxhr6PYacPf457g&#10;tqMdzbwp16Oz7Ix9aD1JyKYCGJL2dUuNhOPndpIDC1FRrawnlPCDAdbV7U2pitpf6APPh9iwFEKh&#10;UBJMjF3BedAGnQpT3yGl35fvnYpJ9g2ve3VJ4c7ymRAL7lRLqcGoDp8M6u/D4CTouRn2mxe9E2/7&#10;1/HhnW/N47OV8v5u3KyARRzjnxmu+AkdqsR08gPVgVkJk2wuEnuUkGfArgaxyGfATula5kvgVcn/&#10;b6h+AQAA//8DAFBLAQItABQABgAIAAAAIQC2gziS/gAAAOEBAAATAAAAAAAAAAAAAAAAAAAAAABb&#10;Q29udGVudF9UeXBlc10ueG1sUEsBAi0AFAAGAAgAAAAhADj9If/WAAAAlAEAAAsAAAAAAAAAAAAA&#10;AAAALwEAAF9yZWxzLy5yZWxzUEsBAi0AFAAGAAgAAAAhAFgmY5IzAgAASwQAAA4AAAAAAAAAAAAA&#10;AAAALgIAAGRycy9lMm9Eb2MueG1sUEsBAi0AFAAGAAgAAAAhABnXXQvhAAAACwEAAA8AAAAAAAAA&#10;AAAAAAAAjQQAAGRycy9kb3ducmV2LnhtbFBLBQYAAAAABAAEAPMAAACbBQAAAAA=&#10;" filled="f" fillcolor="#f3f3f3" strokecolor="black [3213]">
                      <v:fill color2="#707070" rotate="t" angle="90" focus="100%" type="gradient"/>
                    </v:rect>
                  </w:pict>
                </mc:Fallback>
              </mc:AlternateContent>
            </w:r>
          </w:p>
          <w:p w14:paraId="3C5DA3DF" w14:textId="77777777" w:rsidR="002C57C4" w:rsidRDefault="00D22D8B" w:rsidP="005328C0">
            <w:pPr>
              <w:pStyle w:val="Footer"/>
              <w:tabs>
                <w:tab w:val="clear" w:pos="4536"/>
                <w:tab w:val="center" w:pos="4253"/>
              </w:tabs>
              <w:ind w:left="-142" w:hanging="284"/>
              <w:jc w:val="center"/>
              <w:rPr>
                <w:i/>
                <w:iCs/>
                <w:sz w:val="16"/>
                <w:szCs w:val="16"/>
              </w:rPr>
            </w:pPr>
            <w:r>
              <w:rPr>
                <w:i/>
                <w:sz w:val="16"/>
                <w:szCs w:val="16"/>
                <w:lang w:bidi="en-US"/>
              </w:rPr>
              <w:t xml:space="preserve">This document constitutes an un-official transcription/translation. DCAF cannot be held responsible for damages that may </w:t>
            </w:r>
          </w:p>
          <w:p w14:paraId="6F648969" w14:textId="77777777" w:rsidR="00D22D8B" w:rsidRDefault="00D22D8B" w:rsidP="005328C0">
            <w:pPr>
              <w:pStyle w:val="Footer"/>
              <w:tabs>
                <w:tab w:val="clear" w:pos="4536"/>
                <w:tab w:val="center" w:pos="4253"/>
              </w:tabs>
              <w:ind w:left="-142" w:hanging="284"/>
              <w:jc w:val="center"/>
              <w:rPr>
                <w:i/>
                <w:iCs/>
                <w:sz w:val="16"/>
                <w:szCs w:val="16"/>
              </w:rPr>
            </w:pPr>
            <w:r>
              <w:rPr>
                <w:i/>
                <w:sz w:val="16"/>
                <w:szCs w:val="16"/>
                <w:lang w:bidi="en-US"/>
              </w:rPr>
              <w:t>arise from its use. For official reference, please refer to the original text as published by the Libyan Authorities.</w:t>
            </w:r>
          </w:p>
          <w:p w14:paraId="7EF87475" w14:textId="77777777" w:rsidR="002C57C4" w:rsidRDefault="00815A45" w:rsidP="005328C0">
            <w:pPr>
              <w:pStyle w:val="Footer"/>
              <w:tabs>
                <w:tab w:val="clear" w:pos="4536"/>
                <w:tab w:val="center" w:pos="4253"/>
              </w:tabs>
              <w:spacing w:before="40"/>
              <w:ind w:left="-142" w:hanging="284"/>
              <w:jc w:val="center"/>
              <w:rPr>
                <w:i/>
                <w:iCs/>
                <w:sz w:val="16"/>
                <w:szCs w:val="16"/>
              </w:rPr>
            </w:pPr>
            <w:r>
              <w:rPr>
                <w:i/>
                <w:sz w:val="16"/>
                <w:szCs w:val="16"/>
                <w:lang w:bidi="en-US"/>
              </w:rPr>
              <w:t>DCAF’s Libyan Security Sector Legislation project is financed by the DCAF Trust Fund for North Africa.</w:t>
            </w:r>
          </w:p>
          <w:p w14:paraId="1C989B53" w14:textId="77777777" w:rsidR="00E052C5" w:rsidRDefault="00E736A3" w:rsidP="005328C0">
            <w:pPr>
              <w:pStyle w:val="Footer"/>
              <w:tabs>
                <w:tab w:val="clear" w:pos="4536"/>
                <w:tab w:val="center" w:pos="4253"/>
              </w:tabs>
              <w:spacing w:before="40"/>
              <w:ind w:left="-142" w:hanging="284"/>
              <w:jc w:val="center"/>
              <w:rPr>
                <w:i/>
                <w:iCs/>
                <w:sz w:val="16"/>
                <w:szCs w:val="16"/>
              </w:rPr>
            </w:pPr>
            <w:hyperlink r:id="rId5" w:history="1">
              <w:r w:rsidR="00E052C5" w:rsidRPr="00E9019F">
                <w:rPr>
                  <w:rStyle w:val="Hyperlink"/>
                  <w:i/>
                  <w:sz w:val="16"/>
                  <w:szCs w:val="16"/>
                  <w:lang w:bidi="en-US"/>
                </w:rPr>
                <w:t>www.security-legislation.ly</w:t>
              </w:r>
            </w:hyperlink>
            <w:r w:rsidR="00E052C5">
              <w:rPr>
                <w:i/>
                <w:sz w:val="16"/>
                <w:szCs w:val="16"/>
                <w:lang w:bidi="en-US"/>
              </w:rPr>
              <w:t xml:space="preserve"> </w:t>
            </w:r>
          </w:p>
          <w:p w14:paraId="258B8B82" w14:textId="77777777" w:rsidR="00D22D8B" w:rsidRPr="00C05B48" w:rsidRDefault="00D22D8B" w:rsidP="005328C0">
            <w:pPr>
              <w:pStyle w:val="Footer"/>
              <w:tabs>
                <w:tab w:val="clear" w:pos="4536"/>
                <w:tab w:val="center" w:pos="4253"/>
              </w:tabs>
              <w:ind w:left="-142" w:hanging="284"/>
              <w:jc w:val="center"/>
              <w:rPr>
                <w:i/>
                <w:iCs/>
                <w:sz w:val="4"/>
                <w:szCs w:val="4"/>
              </w:rPr>
            </w:pPr>
          </w:p>
          <w:p w14:paraId="7573B139" w14:textId="77777777" w:rsidR="00D22D8B" w:rsidRPr="00FF0327" w:rsidRDefault="00D22D8B" w:rsidP="005328C0">
            <w:pPr>
              <w:pStyle w:val="Footer"/>
              <w:tabs>
                <w:tab w:val="clear" w:pos="4536"/>
                <w:tab w:val="center" w:pos="4253"/>
              </w:tabs>
              <w:ind w:left="-142" w:hanging="284"/>
              <w:jc w:val="center"/>
            </w:pPr>
            <w:r w:rsidRPr="00245726">
              <w:rPr>
                <w:sz w:val="16"/>
                <w:szCs w:val="16"/>
                <w:lang w:bidi="en-US"/>
              </w:rPr>
              <w:t xml:space="preserve">Page </w:t>
            </w:r>
            <w:r w:rsidR="00091D9B" w:rsidRPr="00245726">
              <w:rPr>
                <w:b/>
                <w:sz w:val="16"/>
                <w:szCs w:val="16"/>
                <w:lang w:bidi="en-US"/>
              </w:rPr>
              <w:fldChar w:fldCharType="begin"/>
            </w:r>
            <w:r w:rsidRPr="00245726">
              <w:rPr>
                <w:b/>
                <w:sz w:val="16"/>
                <w:szCs w:val="16"/>
                <w:lang w:bidi="en-US"/>
              </w:rPr>
              <w:instrText xml:space="preserve"> PAGE </w:instrText>
            </w:r>
            <w:r w:rsidR="00091D9B" w:rsidRPr="00245726">
              <w:rPr>
                <w:b/>
                <w:sz w:val="16"/>
                <w:szCs w:val="16"/>
                <w:lang w:bidi="en-US"/>
              </w:rPr>
              <w:fldChar w:fldCharType="separate"/>
            </w:r>
            <w:r w:rsidR="00B614AF">
              <w:rPr>
                <w:b/>
                <w:noProof/>
                <w:sz w:val="16"/>
                <w:szCs w:val="16"/>
                <w:lang w:bidi="en-US"/>
              </w:rPr>
              <w:t>1</w:t>
            </w:r>
            <w:r w:rsidR="00091D9B" w:rsidRPr="00245726">
              <w:rPr>
                <w:b/>
                <w:sz w:val="16"/>
                <w:szCs w:val="16"/>
                <w:lang w:bidi="en-US"/>
              </w:rPr>
              <w:fldChar w:fldCharType="end"/>
            </w:r>
            <w:r w:rsidRPr="00245726">
              <w:rPr>
                <w:sz w:val="16"/>
                <w:szCs w:val="16"/>
                <w:lang w:bidi="en-US"/>
              </w:rPr>
              <w:t xml:space="preserve"> of </w:t>
            </w:r>
            <w:r w:rsidR="00091D9B" w:rsidRPr="00245726">
              <w:rPr>
                <w:b/>
                <w:sz w:val="16"/>
                <w:szCs w:val="16"/>
                <w:lang w:bidi="en-US"/>
              </w:rPr>
              <w:fldChar w:fldCharType="begin"/>
            </w:r>
            <w:r w:rsidRPr="00245726">
              <w:rPr>
                <w:b/>
                <w:sz w:val="16"/>
                <w:szCs w:val="16"/>
                <w:lang w:bidi="en-US"/>
              </w:rPr>
              <w:instrText xml:space="preserve"> NUMPAGES  </w:instrText>
            </w:r>
            <w:r w:rsidR="00091D9B" w:rsidRPr="00245726">
              <w:rPr>
                <w:b/>
                <w:sz w:val="16"/>
                <w:szCs w:val="16"/>
                <w:lang w:bidi="en-US"/>
              </w:rPr>
              <w:fldChar w:fldCharType="separate"/>
            </w:r>
            <w:r w:rsidR="00B614AF">
              <w:rPr>
                <w:b/>
                <w:noProof/>
                <w:sz w:val="16"/>
                <w:szCs w:val="16"/>
                <w:lang w:bidi="en-US"/>
              </w:rPr>
              <w:t>5</w:t>
            </w:r>
            <w:r w:rsidR="00091D9B" w:rsidRPr="00245726">
              <w:rPr>
                <w:b/>
                <w:sz w:val="16"/>
                <w:szCs w:val="16"/>
                <w:lang w:bidi="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54C6" w14:textId="77777777" w:rsidR="006E45C7" w:rsidRDefault="006E45C7" w:rsidP="00A91B88">
      <w:pPr>
        <w:spacing w:after="0" w:line="240" w:lineRule="auto"/>
      </w:pPr>
      <w:r>
        <w:separator/>
      </w:r>
    </w:p>
  </w:footnote>
  <w:footnote w:type="continuationSeparator" w:id="0">
    <w:p w14:paraId="3815D745" w14:textId="77777777" w:rsidR="006E45C7" w:rsidRDefault="006E45C7" w:rsidP="00A91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0ADB"/>
    <w:multiLevelType w:val="hybridMultilevel"/>
    <w:tmpl w:val="3EB86A3C"/>
    <w:lvl w:ilvl="0" w:tplc="E8DCF492">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43780C"/>
    <w:multiLevelType w:val="hybridMultilevel"/>
    <w:tmpl w:val="4058F3B2"/>
    <w:lvl w:ilvl="0" w:tplc="1C9AC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77671"/>
    <w:multiLevelType w:val="hybridMultilevel"/>
    <w:tmpl w:val="2BEEA2E4"/>
    <w:lvl w:ilvl="0" w:tplc="661E1710">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720CAE"/>
    <w:multiLevelType w:val="hybridMultilevel"/>
    <w:tmpl w:val="043CC912"/>
    <w:lvl w:ilvl="0" w:tplc="90EE6FC2">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715159"/>
    <w:multiLevelType w:val="hybridMultilevel"/>
    <w:tmpl w:val="ED8E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FD46C9"/>
    <w:multiLevelType w:val="hybridMultilevel"/>
    <w:tmpl w:val="6FC43332"/>
    <w:lvl w:ilvl="0" w:tplc="0ACA5CAA">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6B45D3"/>
    <w:multiLevelType w:val="hybridMultilevel"/>
    <w:tmpl w:val="31C26F70"/>
    <w:lvl w:ilvl="0" w:tplc="725CBF0E">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2643E1"/>
    <w:multiLevelType w:val="hybridMultilevel"/>
    <w:tmpl w:val="9EF00B9E"/>
    <w:lvl w:ilvl="0" w:tplc="7E5ABE3C">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D35F34"/>
    <w:multiLevelType w:val="hybridMultilevel"/>
    <w:tmpl w:val="40C05180"/>
    <w:lvl w:ilvl="0" w:tplc="409AB982">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86B35"/>
    <w:multiLevelType w:val="hybridMultilevel"/>
    <w:tmpl w:val="520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1021E"/>
    <w:multiLevelType w:val="hybridMultilevel"/>
    <w:tmpl w:val="60B0AA1A"/>
    <w:lvl w:ilvl="0" w:tplc="3D66F25C">
      <w:start w:val="1"/>
      <w:numFmt w:val="decimal"/>
      <w:lvlText w:val="%1-"/>
      <w:lvlJc w:val="left"/>
      <w:pPr>
        <w:ind w:left="360" w:hanging="360"/>
      </w:pPr>
      <w:rPr>
        <w:rFonts w:eastAsia="Arial Unicode MS" w:hAnsi="Arial Unicode MS" w:cs="Calibr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4"/>
  </w:num>
  <w:num w:numId="5">
    <w:abstractNumId w:val="0"/>
  </w:num>
  <w:num w:numId="6">
    <w:abstractNumId w:val="5"/>
  </w:num>
  <w:num w:numId="7">
    <w:abstractNumId w:val="2"/>
  </w:num>
  <w:num w:numId="8">
    <w:abstractNumId w:val="3"/>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o:colormru v:ext="edit" colors="#f3f3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DA"/>
    <w:rsid w:val="000000AB"/>
    <w:rsid w:val="00030FE3"/>
    <w:rsid w:val="0004747B"/>
    <w:rsid w:val="00091D9B"/>
    <w:rsid w:val="000A5561"/>
    <w:rsid w:val="000B547B"/>
    <w:rsid w:val="00104D88"/>
    <w:rsid w:val="0013620F"/>
    <w:rsid w:val="00181EC2"/>
    <w:rsid w:val="001D49A9"/>
    <w:rsid w:val="002164A5"/>
    <w:rsid w:val="00233AD1"/>
    <w:rsid w:val="00245726"/>
    <w:rsid w:val="00277D4B"/>
    <w:rsid w:val="002B6D3B"/>
    <w:rsid w:val="002C005E"/>
    <w:rsid w:val="002C4073"/>
    <w:rsid w:val="002C57C4"/>
    <w:rsid w:val="00311BC5"/>
    <w:rsid w:val="00336E97"/>
    <w:rsid w:val="00396643"/>
    <w:rsid w:val="004610C3"/>
    <w:rsid w:val="004E4403"/>
    <w:rsid w:val="0053134F"/>
    <w:rsid w:val="005328C0"/>
    <w:rsid w:val="00585487"/>
    <w:rsid w:val="005D4E87"/>
    <w:rsid w:val="00621878"/>
    <w:rsid w:val="006741BD"/>
    <w:rsid w:val="00681F47"/>
    <w:rsid w:val="006964BD"/>
    <w:rsid w:val="006B5624"/>
    <w:rsid w:val="006E03DF"/>
    <w:rsid w:val="006E3F6B"/>
    <w:rsid w:val="006E45C7"/>
    <w:rsid w:val="00700052"/>
    <w:rsid w:val="007505D6"/>
    <w:rsid w:val="00767BB2"/>
    <w:rsid w:val="007715EE"/>
    <w:rsid w:val="00793E1A"/>
    <w:rsid w:val="007A2A06"/>
    <w:rsid w:val="00815A45"/>
    <w:rsid w:val="00876CA3"/>
    <w:rsid w:val="008A4028"/>
    <w:rsid w:val="009268F6"/>
    <w:rsid w:val="009E0537"/>
    <w:rsid w:val="00A42EA7"/>
    <w:rsid w:val="00A74FDA"/>
    <w:rsid w:val="00A90100"/>
    <w:rsid w:val="00A91B88"/>
    <w:rsid w:val="00A91C01"/>
    <w:rsid w:val="00A92E0B"/>
    <w:rsid w:val="00AB2E98"/>
    <w:rsid w:val="00B01626"/>
    <w:rsid w:val="00B060EF"/>
    <w:rsid w:val="00B614AF"/>
    <w:rsid w:val="00BA53C0"/>
    <w:rsid w:val="00BD6DB7"/>
    <w:rsid w:val="00BF63BA"/>
    <w:rsid w:val="00C05B48"/>
    <w:rsid w:val="00C34219"/>
    <w:rsid w:val="00C35CF6"/>
    <w:rsid w:val="00C46697"/>
    <w:rsid w:val="00C63FCE"/>
    <w:rsid w:val="00C773F3"/>
    <w:rsid w:val="00C81F07"/>
    <w:rsid w:val="00CC0E7C"/>
    <w:rsid w:val="00CD0A9F"/>
    <w:rsid w:val="00CD55CD"/>
    <w:rsid w:val="00D20CA2"/>
    <w:rsid w:val="00D22D8B"/>
    <w:rsid w:val="00D23AF7"/>
    <w:rsid w:val="00D667AA"/>
    <w:rsid w:val="00D70E36"/>
    <w:rsid w:val="00D7598A"/>
    <w:rsid w:val="00DB2294"/>
    <w:rsid w:val="00DC303E"/>
    <w:rsid w:val="00DC5F53"/>
    <w:rsid w:val="00DF2DAD"/>
    <w:rsid w:val="00DF655C"/>
    <w:rsid w:val="00E052C5"/>
    <w:rsid w:val="00E544F3"/>
    <w:rsid w:val="00E736A3"/>
    <w:rsid w:val="00EA3BE5"/>
    <w:rsid w:val="00EB3B58"/>
    <w:rsid w:val="00EC4CC9"/>
    <w:rsid w:val="00EE17ED"/>
    <w:rsid w:val="00F979F5"/>
    <w:rsid w:val="00FF0327"/>
    <w:rsid w:val="00FF4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f3f3"/>
    </o:shapedefaults>
    <o:shapelayout v:ext="edit">
      <o:idmap v:ext="edit" data="1"/>
    </o:shapelayout>
  </w:shapeDefaults>
  <w:decimalSymbol w:val="."/>
  <w:listSeparator w:val=","/>
  <w14:docId w14:val="29FA9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5C"/>
    <w:rPr>
      <w:rFonts w:eastAsiaTheme="minorHAnsi"/>
      <w:lang w:eastAsia="en-US"/>
    </w:rPr>
  </w:style>
  <w:style w:type="paragraph" w:styleId="Heading1">
    <w:name w:val="heading 1"/>
    <w:basedOn w:val="Normal"/>
    <w:link w:val="Heading1Char"/>
    <w:uiPriority w:val="9"/>
    <w:qFormat/>
    <w:rsid w:val="00A91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B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1B88"/>
  </w:style>
  <w:style w:type="paragraph" w:styleId="Footer">
    <w:name w:val="footer"/>
    <w:basedOn w:val="Normal"/>
    <w:link w:val="FooterChar"/>
    <w:uiPriority w:val="99"/>
    <w:unhideWhenUsed/>
    <w:rsid w:val="00A91B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B88"/>
  </w:style>
  <w:style w:type="character" w:customStyle="1" w:styleId="Heading1Char">
    <w:name w:val="Heading 1 Char"/>
    <w:basedOn w:val="DefaultParagraphFont"/>
    <w:link w:val="Heading1"/>
    <w:uiPriority w:val="9"/>
    <w:rsid w:val="00A91B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1B88"/>
    <w:rPr>
      <w:color w:val="0000FF"/>
      <w:u w:val="single"/>
    </w:rPr>
  </w:style>
  <w:style w:type="paragraph" w:styleId="BalloonText">
    <w:name w:val="Balloon Text"/>
    <w:basedOn w:val="Normal"/>
    <w:link w:val="BalloonTextChar"/>
    <w:uiPriority w:val="99"/>
    <w:semiHidden/>
    <w:unhideWhenUsed/>
    <w:rsid w:val="00A9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B88"/>
    <w:rPr>
      <w:rFonts w:ascii="Tahoma" w:hAnsi="Tahoma" w:cs="Tahoma"/>
      <w:sz w:val="16"/>
      <w:szCs w:val="16"/>
    </w:rPr>
  </w:style>
  <w:style w:type="paragraph" w:styleId="ListParagraph">
    <w:name w:val="List Paragraph"/>
    <w:basedOn w:val="Normal"/>
    <w:uiPriority w:val="34"/>
    <w:qFormat/>
    <w:rsid w:val="00DF655C"/>
    <w:pPr>
      <w:ind w:left="720"/>
      <w:contextualSpacing/>
    </w:pPr>
  </w:style>
  <w:style w:type="character" w:styleId="FollowedHyperlink">
    <w:name w:val="FollowedHyperlink"/>
    <w:basedOn w:val="DefaultParagraphFont"/>
    <w:uiPriority w:val="99"/>
    <w:semiHidden/>
    <w:unhideWhenUsed/>
    <w:rsid w:val="00B01626"/>
    <w:rPr>
      <w:color w:val="800080" w:themeColor="followedHyperlink"/>
      <w:u w:val="single"/>
    </w:rPr>
  </w:style>
  <w:style w:type="paragraph" w:customStyle="1" w:styleId="Body">
    <w:name w:val="Body"/>
    <w:rsid w:val="00A74FDA"/>
    <w:pPr>
      <w:pBdr>
        <w:top w:val="nil"/>
        <w:left w:val="nil"/>
        <w:bottom w:val="nil"/>
        <w:right w:val="nil"/>
        <w:between w:val="nil"/>
        <w:bar w:val="nil"/>
      </w:pBdr>
    </w:pPr>
    <w:rPr>
      <w:rFonts w:ascii="Arial Unicode MS" w:eastAsia="Arial Unicode MS" w:hAnsi="Arial Unicode MS" w:cs="Calibri" w:hint="cs"/>
      <w:color w:val="000000"/>
      <w:u w:color="000000"/>
      <w:bdr w:val="nil"/>
      <w:lang w:val="ar-S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8470">
      <w:bodyDiv w:val="1"/>
      <w:marLeft w:val="0"/>
      <w:marRight w:val="0"/>
      <w:marTop w:val="0"/>
      <w:marBottom w:val="0"/>
      <w:divBdr>
        <w:top w:val="none" w:sz="0" w:space="0" w:color="auto"/>
        <w:left w:val="none" w:sz="0" w:space="0" w:color="auto"/>
        <w:bottom w:val="none" w:sz="0" w:space="0" w:color="auto"/>
        <w:right w:val="none" w:sz="0" w:space="0" w:color="auto"/>
      </w:divBdr>
      <w:divsChild>
        <w:div w:id="1814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caf-tfna.org/" TargetMode="External"/><Relationship Id="rId2" Type="http://schemas.openxmlformats.org/officeDocument/2006/relationships/image" Target="media/image1.png"/><Relationship Id="rId1" Type="http://schemas.openxmlformats.org/officeDocument/2006/relationships/hyperlink" Target="http://www.dcaf.ch/" TargetMode="External"/><Relationship Id="rId5" Type="http://schemas.openxmlformats.org/officeDocument/2006/relationships/hyperlink" Target="http://www.security-legislation.ly"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Nesseem</dc:creator>
  <cp:lastModifiedBy>Administrator</cp:lastModifiedBy>
  <cp:revision>2</cp:revision>
  <cp:lastPrinted>2017-12-02T00:56:00Z</cp:lastPrinted>
  <dcterms:created xsi:type="dcterms:W3CDTF">2021-10-21T19:01:00Z</dcterms:created>
  <dcterms:modified xsi:type="dcterms:W3CDTF">2021-10-21T19:01:00Z</dcterms:modified>
</cp:coreProperties>
</file>